
<file path=[Content_Types].xml><?xml version="1.0" encoding="utf-8"?>
<Types xmlns="http://schemas.openxmlformats.org/package/2006/content-types">
  <Override PartName="/word/diagrams/quickStyle1.xml" ContentType="application/vnd.openxmlformats-officedocument.drawingml.diagramStyle+xml"/>
  <Default Extension="png" ContentType="image/png"/>
  <Override PartName="/word/diagrams/data1.xml" ContentType="application/vnd.openxmlformats-officedocument.drawingml.diagramData+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B6F" w:rsidRPr="002B361A" w:rsidRDefault="0070254B" w:rsidP="00CC4B45">
      <w:pPr>
        <w:spacing w:after="0"/>
        <w:contextualSpacing/>
        <w:jc w:val="center"/>
        <w:rPr>
          <w:b/>
          <w:sz w:val="32"/>
        </w:rPr>
      </w:pPr>
      <w:r w:rsidRPr="002B361A">
        <w:rPr>
          <w:b/>
          <w:sz w:val="32"/>
        </w:rPr>
        <w:t>Incorporation de XSA dans ISIS</w:t>
      </w:r>
    </w:p>
    <w:p w:rsidR="0070254B" w:rsidRDefault="0070254B" w:rsidP="00CC4B45">
      <w:pPr>
        <w:spacing w:after="0"/>
        <w:contextualSpacing/>
        <w:jc w:val="center"/>
      </w:pPr>
    </w:p>
    <w:p w:rsidR="0070254B" w:rsidRDefault="0070254B" w:rsidP="00CC4B45">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contextualSpacing/>
      </w:pPr>
      <w:r>
        <w:t>Objectifs</w:t>
      </w:r>
    </w:p>
    <w:p w:rsidR="00CC4B45" w:rsidRDefault="0070254B" w:rsidP="00CC4B45">
      <w:pPr>
        <w:spacing w:after="0"/>
        <w:contextualSpacing/>
      </w:pPr>
      <w:r>
        <w:tab/>
      </w:r>
    </w:p>
    <w:p w:rsidR="0070254B" w:rsidRDefault="0070254B" w:rsidP="00CC4B45">
      <w:pPr>
        <w:spacing w:after="0"/>
        <w:contextualSpacing/>
      </w:pPr>
      <w:r>
        <w:t xml:space="preserve">La finalité est de pouvoir recréer un processus de gestion classique, où un stock est évalué annuellement par la méthode </w:t>
      </w:r>
      <w:proofErr w:type="spellStart"/>
      <w:r>
        <w:t>eXstended</w:t>
      </w:r>
      <w:proofErr w:type="spellEnd"/>
      <w:r>
        <w:t xml:space="preserve"> </w:t>
      </w:r>
      <w:proofErr w:type="spellStart"/>
      <w:r>
        <w:t>Survivor</w:t>
      </w:r>
      <w:proofErr w:type="spellEnd"/>
      <w:r>
        <w:t xml:space="preserve"> </w:t>
      </w:r>
      <w:proofErr w:type="spellStart"/>
      <w:r>
        <w:t>Analysis</w:t>
      </w:r>
      <w:proofErr w:type="spellEnd"/>
      <w:r>
        <w:t xml:space="preserve"> (XSA) </w:t>
      </w:r>
      <w:fldSimple w:instr=" ADDIN ZOTERO_ITEM {&quot;citationItems&quot;:[{&quot;uri&quot;:[&quot;http://zotero.org/users/190957/items/CS22CHFS&quot;]}]} ">
        <w:r w:rsidRPr="0070254B">
          <w:rPr>
            <w:rFonts w:ascii="Calibri" w:hAnsi="Calibri" w:cs="Calibri"/>
          </w:rPr>
          <w:t>(Shepherd 1999)</w:t>
        </w:r>
      </w:fldSimple>
      <w:r>
        <w:t xml:space="preserve"> et de façon mono spécifique. L’évaluation permet d’estimer les valeurs de certains indicateurs, tels la biomasse féconde ou Fbar. Ces indicateurs sont utilisés par des plans de gestion et servent à définir les TACs.</w:t>
      </w:r>
    </w:p>
    <w:p w:rsidR="00CC4B45" w:rsidRDefault="00CC4B45" w:rsidP="00CC4B45">
      <w:pPr>
        <w:spacing w:after="0"/>
        <w:contextualSpacing/>
      </w:pPr>
    </w:p>
    <w:p w:rsidR="00410D06" w:rsidRDefault="00410D06" w:rsidP="00CC4B45">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contextualSpacing/>
      </w:pPr>
      <w:r>
        <w:t>Boucle de fonctionnement</w:t>
      </w:r>
    </w:p>
    <w:p w:rsidR="00CC4B45" w:rsidRDefault="00CC4B45" w:rsidP="00CC4B45">
      <w:pPr>
        <w:spacing w:after="0"/>
        <w:contextualSpacing/>
      </w:pPr>
    </w:p>
    <w:p w:rsidR="00091E63" w:rsidRDefault="00091E63" w:rsidP="00CC4B45">
      <w:pPr>
        <w:spacing w:after="0"/>
        <w:contextualSpacing/>
      </w:pPr>
      <w:r>
        <w:t>On s’appuie sur une librairie R existante : FLR (</w:t>
      </w:r>
      <w:hyperlink r:id="rId5" w:history="1">
        <w:r w:rsidRPr="00760477">
          <w:rPr>
            <w:rStyle w:val="Hyperlink"/>
          </w:rPr>
          <w:t>www.flr-project.org</w:t>
        </w:r>
      </w:hyperlink>
      <w:proofErr w:type="gramStart"/>
      <w:r>
        <w:t>) ,</w:t>
      </w:r>
      <w:proofErr w:type="gramEnd"/>
      <w:r>
        <w:t xml:space="preserve"> disponible sous licence </w:t>
      </w:r>
      <w:proofErr w:type="spellStart"/>
      <w:r>
        <w:t>Creative</w:t>
      </w:r>
      <w:proofErr w:type="spellEnd"/>
      <w:r>
        <w:t xml:space="preserve"> Commons, qui intègre une fonction XSA.</w:t>
      </w:r>
    </w:p>
    <w:p w:rsidR="00410D06" w:rsidRDefault="0067522E" w:rsidP="00CC4B45">
      <w:pPr>
        <w:spacing w:after="0"/>
        <w:contextualSpacing/>
      </w:pPr>
      <w:r>
        <w:rPr>
          <w:noProof/>
          <w:lang w:eastAsia="fr-FR"/>
        </w:rPr>
        <w:pict>
          <v:shapetype id="_x0000_t103" coordsize="21600,21600" o:spt="103" adj="12960,19440,7200" path="wr@22,0@21@3,,0@21@4@22@14@21@1@21@7@2@12l@2@13,0@8@2@11at@22,0@21@3@2@10@24@16@22@14@21@1@24@16,0@14xear@22@14@21@1@21@7@24@16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0,@15;@2,@11;0,@8;@2,@13;@21,@16" o:connectangles="180,180,180,90,0" textboxrect="@43,@41,@44,@42"/>
            <v:handles>
              <v:h position="topLeft,#0" yrange="@37,@27"/>
              <v:h position="topLeft,#1" yrange="@25,@20"/>
              <v:h position="#2,bottomRight" xrange="0,@40"/>
            </v:handles>
            <o:complex v:ext="view"/>
          </v:shapetype>
          <v:shape id="_x0000_s1026" type="#_x0000_t103" style="position:absolute;margin-left:56.4pt;margin-top:51.25pt;width:57pt;height:283.75pt;rotation:11625838fd;z-index:251658240"/>
        </w:pict>
      </w:r>
      <w:r w:rsidR="00410D06" w:rsidRPr="00410D06">
        <w:rPr>
          <w:noProof/>
          <w:lang w:eastAsia="fr-FR"/>
        </w:rPr>
        <w:drawing>
          <wp:inline distT="0" distB="0" distL="0" distR="0">
            <wp:extent cx="5760720" cy="4150557"/>
            <wp:effectExtent l="0" t="38100" r="0" b="21393"/>
            <wp:docPr id="2"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6" r:lo="rId7" r:qs="rId8" r:cs="rId9"/>
              </a:graphicData>
            </a:graphic>
          </wp:inline>
        </w:drawing>
      </w:r>
    </w:p>
    <w:p w:rsidR="00410D06" w:rsidRDefault="00410D06" w:rsidP="00CC4B45">
      <w:pPr>
        <w:spacing w:after="0"/>
        <w:contextualSpacing/>
      </w:pPr>
    </w:p>
    <w:p w:rsidR="00410D06" w:rsidRDefault="00091E63" w:rsidP="00CC4B45">
      <w:pPr>
        <w:spacing w:after="0"/>
        <w:contextualSpacing/>
      </w:pPr>
      <w:r>
        <w:t>U</w:t>
      </w:r>
      <w:r w:rsidR="00410D06">
        <w:t>ne mise à jour des séries de tuning sur le modèle de l’abondance est envisageable. La principale</w:t>
      </w:r>
      <w:r>
        <w:t xml:space="preserve"> difficulté est de recréer dans Isis des flottes de tuning en phase avec celles utilisées dans l’évaluation. Ceci implique un travail de calibration en amont. </w:t>
      </w:r>
    </w:p>
    <w:p w:rsidR="00CC4B45" w:rsidRDefault="00CC4B45" w:rsidP="00CC4B45">
      <w:pPr>
        <w:spacing w:after="0"/>
        <w:contextualSpacing/>
      </w:pPr>
    </w:p>
    <w:p w:rsidR="0070254B" w:rsidRDefault="00410D06" w:rsidP="00CC4B45">
      <w:pPr>
        <w:pBdr>
          <w:top w:val="single" w:sz="4" w:space="1" w:color="auto"/>
          <w:left w:val="single" w:sz="4" w:space="4" w:color="auto"/>
          <w:bottom w:val="single" w:sz="4" w:space="1" w:color="auto"/>
          <w:right w:val="single" w:sz="4" w:space="4" w:color="auto"/>
        </w:pBdr>
        <w:shd w:val="clear" w:color="auto" w:fill="BFBFBF" w:themeFill="background1" w:themeFillShade="BF"/>
        <w:spacing w:after="0"/>
        <w:contextualSpacing/>
      </w:pPr>
      <w:r>
        <w:t>Paramétrage</w:t>
      </w:r>
    </w:p>
    <w:p w:rsidR="00BE24E3" w:rsidRDefault="00BE24E3" w:rsidP="00CC4B45">
      <w:pPr>
        <w:spacing w:after="0"/>
        <w:contextualSpacing/>
      </w:pPr>
    </w:p>
    <w:p w:rsidR="00CC4B45" w:rsidRPr="00BE24E3" w:rsidRDefault="00BE24E3" w:rsidP="00CC4B45">
      <w:pPr>
        <w:spacing w:after="0"/>
        <w:contextualSpacing/>
        <w:rPr>
          <w:b/>
          <w:u w:val="single"/>
        </w:rPr>
      </w:pPr>
      <w:r w:rsidRPr="00BE24E3">
        <w:rPr>
          <w:b/>
          <w:u w:val="single"/>
        </w:rPr>
        <w:t>Import des séries temporelles</w:t>
      </w:r>
    </w:p>
    <w:p w:rsidR="0070254B" w:rsidRDefault="0070254B" w:rsidP="00CC4B45">
      <w:pPr>
        <w:spacing w:after="0"/>
        <w:contextualSpacing/>
      </w:pPr>
      <w:r>
        <w:lastRenderedPageBreak/>
        <w:t>La méthode XSA se base sur des séries temporelles. On importe ainsi des données au format classique Lowestoft. Il faut pour cela spécifier dans ISIS différents paramètres pour que soient intégrées les données :</w:t>
      </w:r>
    </w:p>
    <w:p w:rsidR="0070254B" w:rsidRDefault="0070254B" w:rsidP="00CC4B45">
      <w:pPr>
        <w:spacing w:after="0"/>
        <w:contextualSpacing/>
      </w:pPr>
      <w:r>
        <w:rPr>
          <w:noProof/>
          <w:lang w:eastAsia="fr-FR"/>
        </w:rPr>
        <w:drawing>
          <wp:inline distT="0" distB="0" distL="0" distR="0">
            <wp:extent cx="5760720" cy="596087"/>
            <wp:effectExtent l="19050" t="19050" r="11430" b="13513"/>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5760720" cy="596087"/>
                    </a:xfrm>
                    <a:prstGeom prst="rect">
                      <a:avLst/>
                    </a:prstGeom>
                    <a:noFill/>
                    <a:ln w="9525">
                      <a:solidFill>
                        <a:schemeClr val="tx1"/>
                      </a:solidFill>
                      <a:miter lim="800000"/>
                      <a:headEnd/>
                      <a:tailEnd/>
                    </a:ln>
                  </pic:spPr>
                </pic:pic>
              </a:graphicData>
            </a:graphic>
          </wp:inline>
        </w:drawing>
      </w:r>
    </w:p>
    <w:p w:rsidR="00CC4B45" w:rsidRDefault="00CC4B45" w:rsidP="00CC4B45">
      <w:pPr>
        <w:spacing w:after="0"/>
        <w:contextualSpacing/>
        <w:rPr>
          <w:b/>
          <w:i/>
        </w:rPr>
      </w:pPr>
    </w:p>
    <w:p w:rsidR="0070254B" w:rsidRDefault="007E17AD" w:rsidP="00CC4B45">
      <w:pPr>
        <w:spacing w:after="0"/>
        <w:contextualSpacing/>
      </w:pPr>
      <w:proofErr w:type="gramStart"/>
      <w:r w:rsidRPr="00CC4B45">
        <w:rPr>
          <w:b/>
          <w:i/>
        </w:rPr>
        <w:t>pathtovpadata</w:t>
      </w:r>
      <w:proofErr w:type="gramEnd"/>
      <w:r w:rsidRPr="007E17AD">
        <w:rPr>
          <w:i/>
        </w:rPr>
        <w:t xml:space="preserve"> </w:t>
      </w:r>
      <w:r w:rsidRPr="007E17AD">
        <w:t>= Chemin d’accès aux fichiers au format Lowestoft</w:t>
      </w:r>
    </w:p>
    <w:p w:rsidR="007E17AD" w:rsidRDefault="007E17AD" w:rsidP="00CC4B45">
      <w:pPr>
        <w:spacing w:after="0"/>
        <w:contextualSpacing/>
      </w:pPr>
      <w:r w:rsidRPr="007E17AD">
        <w:rPr>
          <w:i/>
        </w:rPr>
        <w:t>nomindex</w:t>
      </w:r>
      <w:r>
        <w:t>= Nom du fichier de base contenant les informations sur le stock et le nom des autres fichiers</w:t>
      </w:r>
    </w:p>
    <w:p w:rsidR="007E17AD" w:rsidRDefault="007E17AD" w:rsidP="00CC4B45">
      <w:pPr>
        <w:spacing w:after="0"/>
        <w:contextualSpacing/>
      </w:pPr>
      <w:proofErr w:type="spellStart"/>
      <w:proofErr w:type="gramStart"/>
      <w:r w:rsidRPr="00CC4B45">
        <w:rPr>
          <w:b/>
          <w:i/>
        </w:rPr>
        <w:t>tuningfile</w:t>
      </w:r>
      <w:proofErr w:type="spellEnd"/>
      <w:proofErr w:type="gramEnd"/>
      <w:r>
        <w:t xml:space="preserve"> = Nom du fichier contenant les séries de tuning</w:t>
      </w:r>
    </w:p>
    <w:p w:rsidR="00410D06" w:rsidRDefault="00410D06" w:rsidP="00CC4B45">
      <w:pPr>
        <w:spacing w:after="0"/>
        <w:contextualSpacing/>
      </w:pPr>
    </w:p>
    <w:p w:rsidR="00091E63" w:rsidRDefault="00091E63" w:rsidP="00CC4B45">
      <w:pPr>
        <w:spacing w:after="0"/>
        <w:contextualSpacing/>
      </w:pPr>
      <w:r>
        <w:t>Il faut également spécifier dans les paramètres des règles :</w:t>
      </w:r>
    </w:p>
    <w:p w:rsidR="00091E63" w:rsidRDefault="00091E63" w:rsidP="00CC4B45">
      <w:pPr>
        <w:spacing w:after="0"/>
        <w:contextualSpacing/>
      </w:pPr>
      <w:proofErr w:type="gramStart"/>
      <w:r w:rsidRPr="00CC4B45">
        <w:rPr>
          <w:b/>
          <w:i/>
        </w:rPr>
        <w:t>pop</w:t>
      </w:r>
      <w:proofErr w:type="gramEnd"/>
      <w:r>
        <w:t xml:space="preserve"> = population visée par l’évaluation</w:t>
      </w:r>
    </w:p>
    <w:p w:rsidR="005139FB" w:rsidRDefault="005139FB" w:rsidP="00CC4B45">
      <w:pPr>
        <w:spacing w:after="0"/>
        <w:contextualSpacing/>
      </w:pPr>
      <w:proofErr w:type="spellStart"/>
      <w:proofErr w:type="gramStart"/>
      <w:r w:rsidRPr="00CC4B45">
        <w:rPr>
          <w:b/>
          <w:i/>
        </w:rPr>
        <w:t>dossierexport</w:t>
      </w:r>
      <w:proofErr w:type="spellEnd"/>
      <w:proofErr w:type="gramEnd"/>
      <w:r w:rsidRPr="00CC4B45">
        <w:rPr>
          <w:b/>
          <w:i/>
        </w:rPr>
        <w:t xml:space="preserve"> </w:t>
      </w:r>
      <w:r>
        <w:rPr>
          <w:i/>
        </w:rPr>
        <w:t>=</w:t>
      </w:r>
      <w:r w:rsidRPr="005139FB">
        <w:t xml:space="preserve"> dossier dans lequel seront stockés les matrices exportés depuis Isis</w:t>
      </w:r>
      <w:r>
        <w:t>, peut être utile de les regarder pour débogage</w:t>
      </w:r>
      <w:r w:rsidRPr="005139FB">
        <w:t>.</w:t>
      </w:r>
      <w:r>
        <w:rPr>
          <w:i/>
        </w:rPr>
        <w:t xml:space="preserve"> </w:t>
      </w:r>
      <w:r>
        <w:t>Actuellement les matrices exportées depuis ISIS : abondances, captures, mortalité naturelle  sont stockées dans des fichiers séparés pour chaque année. Il peut être pertinent d’alléger ceci en utilisant un seul fichier de transit effacé chaque année.</w:t>
      </w:r>
    </w:p>
    <w:p w:rsidR="00CC4B45" w:rsidRDefault="00CC4B45" w:rsidP="00CC4B45">
      <w:pPr>
        <w:spacing w:after="0"/>
        <w:contextualSpacing/>
      </w:pPr>
      <w:proofErr w:type="spellStart"/>
      <w:proofErr w:type="gramStart"/>
      <w:r w:rsidRPr="00CC4B45">
        <w:rPr>
          <w:b/>
          <w:i/>
        </w:rPr>
        <w:t>stockname</w:t>
      </w:r>
      <w:proofErr w:type="spellEnd"/>
      <w:proofErr w:type="gramEnd"/>
      <w:r w:rsidRPr="00CC4B45">
        <w:rPr>
          <w:b/>
        </w:rPr>
        <w:t xml:space="preserve"> </w:t>
      </w:r>
      <w:r>
        <w:t>= nom du stock</w:t>
      </w:r>
    </w:p>
    <w:p w:rsidR="00CC4B45" w:rsidRDefault="00CC4B45" w:rsidP="00CC4B45">
      <w:pPr>
        <w:spacing w:after="0"/>
        <w:contextualSpacing/>
      </w:pPr>
      <w:proofErr w:type="spellStart"/>
      <w:proofErr w:type="gramStart"/>
      <w:r w:rsidRPr="00CC4B45">
        <w:rPr>
          <w:b/>
          <w:i/>
        </w:rPr>
        <w:t>discardabsence</w:t>
      </w:r>
      <w:proofErr w:type="spellEnd"/>
      <w:proofErr w:type="gramEnd"/>
      <w:r>
        <w:t xml:space="preserve"> = </w:t>
      </w:r>
      <w:proofErr w:type="spellStart"/>
      <w:r>
        <w:t>true</w:t>
      </w:r>
      <w:proofErr w:type="spellEnd"/>
      <w:r>
        <w:t xml:space="preserve"> si pas de rejets</w:t>
      </w:r>
    </w:p>
    <w:p w:rsidR="00CC4B45" w:rsidRDefault="00CC4B45" w:rsidP="00CC4B45">
      <w:pPr>
        <w:spacing w:after="0"/>
        <w:contextualSpacing/>
      </w:pPr>
    </w:p>
    <w:p w:rsidR="00BE24E3" w:rsidRDefault="00BE24E3" w:rsidP="00CC4B45">
      <w:pPr>
        <w:spacing w:after="0"/>
        <w:contextualSpacing/>
        <w:rPr>
          <w:b/>
          <w:u w:val="single"/>
        </w:rPr>
      </w:pPr>
      <w:r w:rsidRPr="00BE24E3">
        <w:rPr>
          <w:b/>
          <w:u w:val="single"/>
        </w:rPr>
        <w:t>Paramètres de la XSA</w:t>
      </w:r>
    </w:p>
    <w:p w:rsidR="00BE24E3" w:rsidRDefault="00BE24E3" w:rsidP="00CC4B45">
      <w:pPr>
        <w:spacing w:after="0"/>
        <w:contextualSpacing/>
        <w:rPr>
          <w:b/>
          <w:u w:val="single"/>
        </w:rPr>
      </w:pPr>
    </w:p>
    <w:p w:rsidR="00BE24E3" w:rsidRDefault="00BE24E3" w:rsidP="00CC4B45">
      <w:pPr>
        <w:spacing w:after="0"/>
        <w:contextualSpacing/>
      </w:pPr>
      <w:r>
        <w:t>Par souci de légèreté, les paramètres de la XSA réalisée ne sont pas directement accessibles depuis l’interface, mais facilement modifiables dans la règle.</w:t>
      </w:r>
    </w:p>
    <w:p w:rsidR="00EF1166" w:rsidRDefault="00E15773" w:rsidP="00EF1166">
      <w:pPr>
        <w:spacing w:after="0"/>
        <w:contextualSpacing/>
      </w:pPr>
      <w:r>
        <w:t>Voici un extrait de la documentation du package FLXSA explicitant ces paramètres et donnant une valeur indicative. Il faut que ces paramètres correspondent à ceux utilisés dans les groupes de travail pour retranscrire au mieux la réalité.</w:t>
      </w:r>
    </w:p>
    <w:p w:rsidR="00E15773" w:rsidRDefault="00E15773" w:rsidP="00EF1166">
      <w:pPr>
        <w:spacing w:after="0"/>
        <w:contextualSpacing/>
      </w:pPr>
    </w:p>
    <w:p w:rsidR="00EF1166" w:rsidRPr="00EF1166" w:rsidRDefault="00EF1166" w:rsidP="00EF1166">
      <w:pPr>
        <w:spacing w:after="0"/>
        <w:contextualSpacing/>
        <w:rPr>
          <w:b/>
          <w:lang w:val="en-US"/>
        </w:rPr>
      </w:pPr>
      <w:r w:rsidRPr="00EF1166">
        <w:rPr>
          <w:lang w:val="en-US"/>
        </w:rPr>
        <w:t>#</w:t>
      </w:r>
      <w:proofErr w:type="gramStart"/>
      <w:r w:rsidRPr="00EF1166">
        <w:rPr>
          <w:lang w:val="en-US"/>
        </w:rPr>
        <w:t>The</w:t>
      </w:r>
      <w:proofErr w:type="gramEnd"/>
      <w:r w:rsidRPr="00EF1166">
        <w:rPr>
          <w:lang w:val="en-US"/>
        </w:rPr>
        <w:t xml:space="preserve"> co</w:t>
      </w:r>
      <w:r w:rsidR="00E15773">
        <w:rPr>
          <w:lang w:val="en-US"/>
        </w:rPr>
        <w:t>n</w:t>
      </w:r>
      <w:r w:rsidRPr="00EF1166">
        <w:rPr>
          <w:lang w:val="en-US"/>
        </w:rPr>
        <w:t>vergence tolerance, difference between two successive iterations must be lower to declare convergence of the model. Class "numeric"</w:t>
      </w:r>
    </w:p>
    <w:p w:rsidR="00EF1166" w:rsidRPr="00EF1166" w:rsidRDefault="00EF1166" w:rsidP="00EF1166">
      <w:pPr>
        <w:spacing w:after="0"/>
        <w:contextualSpacing/>
        <w:rPr>
          <w:lang w:val="en-US"/>
        </w:rPr>
      </w:pPr>
      <w:proofErr w:type="spellStart"/>
      <w:proofErr w:type="gramStart"/>
      <w:r w:rsidRPr="00EF1166">
        <w:rPr>
          <w:b/>
          <w:lang w:val="en-US"/>
        </w:rPr>
        <w:t>tol</w:t>
      </w:r>
      <w:proofErr w:type="spellEnd"/>
      <w:proofErr w:type="gramEnd"/>
      <w:r w:rsidRPr="00EF1166">
        <w:rPr>
          <w:lang w:val="en-US"/>
        </w:rPr>
        <w:t>&lt;-1.e-09</w:t>
      </w:r>
    </w:p>
    <w:p w:rsidR="00EF1166" w:rsidRPr="00EF1166" w:rsidRDefault="00EF1166" w:rsidP="00EF1166">
      <w:pPr>
        <w:spacing w:after="0"/>
        <w:contextualSpacing/>
        <w:rPr>
          <w:lang w:val="en-US"/>
        </w:rPr>
      </w:pPr>
      <w:r w:rsidRPr="00EF1166">
        <w:rPr>
          <w:lang w:val="en-US"/>
        </w:rPr>
        <w:t>#</w:t>
      </w:r>
      <w:proofErr w:type="gramStart"/>
      <w:r w:rsidRPr="00EF1166">
        <w:rPr>
          <w:lang w:val="en-US"/>
        </w:rPr>
        <w:t>The</w:t>
      </w:r>
      <w:proofErr w:type="gramEnd"/>
      <w:r w:rsidRPr="00EF1166">
        <w:rPr>
          <w:lang w:val="en-US"/>
        </w:rPr>
        <w:t xml:space="preserve"> maximum number of iterations allowed. Class "integer"</w:t>
      </w:r>
    </w:p>
    <w:p w:rsidR="00EF1166" w:rsidRPr="00EF1166" w:rsidRDefault="00EF1166" w:rsidP="00EF1166">
      <w:pPr>
        <w:spacing w:after="0"/>
        <w:contextualSpacing/>
        <w:rPr>
          <w:lang w:val="en-US"/>
        </w:rPr>
      </w:pPr>
      <w:proofErr w:type="spellStart"/>
      <w:proofErr w:type="gramStart"/>
      <w:r w:rsidRPr="00EF1166">
        <w:rPr>
          <w:b/>
          <w:lang w:val="en-US"/>
        </w:rPr>
        <w:t>maxit</w:t>
      </w:r>
      <w:proofErr w:type="spellEnd"/>
      <w:proofErr w:type="gramEnd"/>
      <w:r w:rsidRPr="00EF1166">
        <w:rPr>
          <w:lang w:val="en-US"/>
        </w:rPr>
        <w:t>&lt;-30</w:t>
      </w:r>
    </w:p>
    <w:p w:rsidR="00EF1166" w:rsidRPr="00EF1166" w:rsidRDefault="00EF1166" w:rsidP="00EF1166">
      <w:pPr>
        <w:spacing w:after="0"/>
        <w:contextualSpacing/>
        <w:rPr>
          <w:lang w:val="en-US"/>
        </w:rPr>
      </w:pPr>
      <w:r w:rsidRPr="00EF1166">
        <w:rPr>
          <w:lang w:val="en-US"/>
        </w:rPr>
        <w:t>#</w:t>
      </w:r>
      <w:proofErr w:type="gramStart"/>
      <w:r w:rsidRPr="00EF1166">
        <w:rPr>
          <w:lang w:val="en-US"/>
        </w:rPr>
        <w:t>The</w:t>
      </w:r>
      <w:proofErr w:type="gramEnd"/>
      <w:r w:rsidRPr="00EF1166">
        <w:rPr>
          <w:lang w:val="en-US"/>
        </w:rPr>
        <w:t xml:space="preserve"> minimum value of SE permitted in estimate of N hat. Class "numeric"</w:t>
      </w:r>
    </w:p>
    <w:p w:rsidR="00EF1166" w:rsidRPr="00EF1166" w:rsidRDefault="00E15773" w:rsidP="00EF1166">
      <w:pPr>
        <w:spacing w:after="0"/>
        <w:contextualSpacing/>
        <w:rPr>
          <w:lang w:val="en-US"/>
        </w:rPr>
      </w:pPr>
      <w:r>
        <w:rPr>
          <w:b/>
          <w:lang w:val="en-US"/>
        </w:rPr>
        <w:t>m</w:t>
      </w:r>
      <w:r w:rsidR="00EF1166" w:rsidRPr="00EF1166">
        <w:rPr>
          <w:b/>
          <w:lang w:val="en-US"/>
        </w:rPr>
        <w:t>in.nse</w:t>
      </w:r>
      <w:r w:rsidR="00EF1166" w:rsidRPr="00EF1166">
        <w:rPr>
          <w:lang w:val="en-US"/>
        </w:rPr>
        <w:t>&lt;-0.3</w:t>
      </w:r>
    </w:p>
    <w:p w:rsidR="00EF1166" w:rsidRPr="00EF1166" w:rsidRDefault="00EF1166" w:rsidP="00EF1166">
      <w:pPr>
        <w:spacing w:after="0"/>
        <w:contextualSpacing/>
        <w:rPr>
          <w:lang w:val="en-US"/>
        </w:rPr>
      </w:pPr>
      <w:r w:rsidRPr="00EF1166">
        <w:rPr>
          <w:lang w:val="en-US"/>
        </w:rPr>
        <w:t>#User set SE of F when shrinking to mean F. Class "numeric"</w:t>
      </w:r>
    </w:p>
    <w:p w:rsidR="00EF1166" w:rsidRPr="00EF1166" w:rsidRDefault="00EF1166" w:rsidP="00EF1166">
      <w:pPr>
        <w:spacing w:after="0"/>
        <w:contextualSpacing/>
        <w:rPr>
          <w:lang w:val="en-US"/>
        </w:rPr>
      </w:pPr>
      <w:proofErr w:type="spellStart"/>
      <w:proofErr w:type="gramStart"/>
      <w:r w:rsidRPr="00EF1166">
        <w:rPr>
          <w:b/>
          <w:lang w:val="en-US"/>
        </w:rPr>
        <w:t>fse</w:t>
      </w:r>
      <w:proofErr w:type="spellEnd"/>
      <w:proofErr w:type="gramEnd"/>
      <w:r w:rsidRPr="00EF1166">
        <w:rPr>
          <w:lang w:val="en-US"/>
        </w:rPr>
        <w:t>&lt;-2.0</w:t>
      </w:r>
    </w:p>
    <w:p w:rsidR="00EF1166" w:rsidRPr="00E15773" w:rsidRDefault="00EF1166" w:rsidP="00EF1166">
      <w:pPr>
        <w:spacing w:after="0"/>
        <w:contextualSpacing/>
        <w:rPr>
          <w:lang w:val="en-US"/>
        </w:rPr>
      </w:pPr>
      <w:r w:rsidRPr="00EF1166">
        <w:rPr>
          <w:lang w:val="en-US"/>
        </w:rPr>
        <w:t>#</w:t>
      </w:r>
      <w:proofErr w:type="gramStart"/>
      <w:r w:rsidRPr="00EF1166">
        <w:rPr>
          <w:lang w:val="en-US"/>
        </w:rPr>
        <w:t>The</w:t>
      </w:r>
      <w:proofErr w:type="gramEnd"/>
      <w:r w:rsidRPr="00EF1166">
        <w:rPr>
          <w:lang w:val="en-US"/>
        </w:rPr>
        <w:t xml:space="preserve"> oldest age for which the two parameter model is used for </w:t>
      </w:r>
      <w:proofErr w:type="spellStart"/>
      <w:r w:rsidRPr="00EF1166">
        <w:rPr>
          <w:lang w:val="en-US"/>
        </w:rPr>
        <w:t>catchability</w:t>
      </w:r>
      <w:proofErr w:type="spellEnd"/>
      <w:r w:rsidRPr="00EF1166">
        <w:rPr>
          <w:lang w:val="en-US"/>
        </w:rPr>
        <w:t xml:space="preserve"> at age. </w:t>
      </w:r>
      <w:r w:rsidRPr="00E15773">
        <w:rPr>
          <w:lang w:val="en-US"/>
        </w:rPr>
        <w:t>Class "integer"</w:t>
      </w:r>
    </w:p>
    <w:p w:rsidR="00EF1166" w:rsidRPr="00E15773" w:rsidRDefault="00EF1166" w:rsidP="00EF1166">
      <w:pPr>
        <w:spacing w:after="0"/>
        <w:contextualSpacing/>
        <w:rPr>
          <w:lang w:val="en-US"/>
        </w:rPr>
      </w:pPr>
      <w:proofErr w:type="gramStart"/>
      <w:r w:rsidRPr="00E15773">
        <w:rPr>
          <w:b/>
          <w:lang w:val="en-US"/>
        </w:rPr>
        <w:t>rage</w:t>
      </w:r>
      <w:proofErr w:type="gramEnd"/>
      <w:r w:rsidRPr="00E15773">
        <w:rPr>
          <w:lang w:val="en-US"/>
        </w:rPr>
        <w:t>&lt;--1</w:t>
      </w:r>
    </w:p>
    <w:p w:rsidR="00EF1166" w:rsidRPr="00EF1166" w:rsidRDefault="00EF1166" w:rsidP="00EF1166">
      <w:pPr>
        <w:spacing w:after="0"/>
        <w:contextualSpacing/>
        <w:rPr>
          <w:lang w:val="en-US"/>
        </w:rPr>
      </w:pPr>
      <w:r w:rsidRPr="00EF1166">
        <w:rPr>
          <w:lang w:val="en-US"/>
        </w:rPr>
        <w:t>#</w:t>
      </w:r>
      <w:proofErr w:type="gramStart"/>
      <w:r w:rsidRPr="00EF1166">
        <w:rPr>
          <w:lang w:val="en-US"/>
        </w:rPr>
        <w:t>The</w:t>
      </w:r>
      <w:proofErr w:type="gramEnd"/>
      <w:r w:rsidRPr="00EF1166">
        <w:rPr>
          <w:lang w:val="en-US"/>
        </w:rPr>
        <w:t xml:space="preserve"> age after which </w:t>
      </w:r>
      <w:proofErr w:type="spellStart"/>
      <w:r w:rsidRPr="00EF1166">
        <w:rPr>
          <w:lang w:val="en-US"/>
        </w:rPr>
        <w:t>catchability</w:t>
      </w:r>
      <w:proofErr w:type="spellEnd"/>
      <w:r w:rsidRPr="00EF1166">
        <w:rPr>
          <w:lang w:val="en-US"/>
        </w:rPr>
        <w:t xml:space="preserve"> is no longer estimated. Class "integer"</w:t>
      </w:r>
    </w:p>
    <w:p w:rsidR="00EF1166" w:rsidRPr="00EF1166" w:rsidRDefault="00EF1166" w:rsidP="00EF1166">
      <w:pPr>
        <w:spacing w:after="0"/>
        <w:contextualSpacing/>
        <w:rPr>
          <w:lang w:val="en-US"/>
        </w:rPr>
      </w:pPr>
      <w:proofErr w:type="spellStart"/>
      <w:proofErr w:type="gramStart"/>
      <w:r w:rsidRPr="00EF1166">
        <w:rPr>
          <w:b/>
          <w:lang w:val="en-US"/>
        </w:rPr>
        <w:t>qage</w:t>
      </w:r>
      <w:proofErr w:type="spellEnd"/>
      <w:proofErr w:type="gramEnd"/>
      <w:r w:rsidRPr="00EF1166">
        <w:rPr>
          <w:lang w:val="en-US"/>
        </w:rPr>
        <w:t>&lt;-6</w:t>
      </w:r>
    </w:p>
    <w:p w:rsidR="00EF1166" w:rsidRPr="00EF1166" w:rsidRDefault="00EF1166" w:rsidP="00EF1166">
      <w:pPr>
        <w:spacing w:after="0"/>
        <w:contextualSpacing/>
        <w:rPr>
          <w:lang w:val="en-US"/>
        </w:rPr>
      </w:pPr>
      <w:r w:rsidRPr="00EF1166">
        <w:rPr>
          <w:lang w:val="en-US"/>
        </w:rPr>
        <w:t>#If TRUE, shrinkage to mean N. Class "logical"</w:t>
      </w:r>
    </w:p>
    <w:p w:rsidR="00EF1166" w:rsidRPr="00EF1166" w:rsidRDefault="00EF1166" w:rsidP="00EF1166">
      <w:pPr>
        <w:spacing w:after="0"/>
        <w:contextualSpacing/>
        <w:rPr>
          <w:lang w:val="en-US"/>
        </w:rPr>
      </w:pPr>
      <w:proofErr w:type="spellStart"/>
      <w:r w:rsidRPr="00EF1166">
        <w:rPr>
          <w:b/>
          <w:lang w:val="en-US"/>
        </w:rPr>
        <w:t>shk.n</w:t>
      </w:r>
      <w:proofErr w:type="spellEnd"/>
      <w:r w:rsidRPr="00EF1166">
        <w:rPr>
          <w:lang w:val="en-US"/>
        </w:rPr>
        <w:t>&lt;-TRUE</w:t>
      </w:r>
    </w:p>
    <w:p w:rsidR="00EF1166" w:rsidRPr="00EF1166" w:rsidRDefault="00EF1166" w:rsidP="00EF1166">
      <w:pPr>
        <w:spacing w:after="0"/>
        <w:contextualSpacing/>
        <w:rPr>
          <w:lang w:val="en-US"/>
        </w:rPr>
      </w:pPr>
      <w:r w:rsidRPr="00EF1166">
        <w:rPr>
          <w:lang w:val="en-US"/>
        </w:rPr>
        <w:t>#If TRUE, shrinkage to mean F. Class "logical"</w:t>
      </w:r>
    </w:p>
    <w:p w:rsidR="00EF1166" w:rsidRPr="00EF1166" w:rsidRDefault="00EF1166" w:rsidP="00EF1166">
      <w:pPr>
        <w:spacing w:after="0"/>
        <w:contextualSpacing/>
        <w:rPr>
          <w:lang w:val="en-US"/>
        </w:rPr>
      </w:pPr>
      <w:proofErr w:type="spellStart"/>
      <w:r w:rsidRPr="00EF1166">
        <w:rPr>
          <w:b/>
          <w:lang w:val="en-US"/>
        </w:rPr>
        <w:lastRenderedPageBreak/>
        <w:t>shk.f</w:t>
      </w:r>
      <w:proofErr w:type="spellEnd"/>
      <w:r w:rsidRPr="00EF1166">
        <w:rPr>
          <w:lang w:val="en-US"/>
        </w:rPr>
        <w:t>&lt;-TRUE</w:t>
      </w:r>
    </w:p>
    <w:p w:rsidR="00EF1166" w:rsidRPr="00EF1166" w:rsidRDefault="00EF1166" w:rsidP="00EF1166">
      <w:pPr>
        <w:spacing w:after="0"/>
        <w:contextualSpacing/>
        <w:rPr>
          <w:lang w:val="en-US"/>
        </w:rPr>
      </w:pPr>
      <w:r w:rsidRPr="00EF1166">
        <w:rPr>
          <w:lang w:val="en-US"/>
        </w:rPr>
        <w:t>#</w:t>
      </w:r>
      <w:proofErr w:type="gramStart"/>
      <w:r w:rsidRPr="00EF1166">
        <w:rPr>
          <w:lang w:val="en-US"/>
        </w:rPr>
        <w:t>The</w:t>
      </w:r>
      <w:proofErr w:type="gramEnd"/>
      <w:r w:rsidRPr="00EF1166">
        <w:rPr>
          <w:lang w:val="en-US"/>
        </w:rPr>
        <w:t xml:space="preserve"> number of years to be used for shrinkage to F for terminal year. Class "integer"</w:t>
      </w:r>
    </w:p>
    <w:p w:rsidR="00EF1166" w:rsidRPr="00EF1166" w:rsidRDefault="00EF1166" w:rsidP="00EF1166">
      <w:pPr>
        <w:spacing w:after="0"/>
        <w:contextualSpacing/>
        <w:rPr>
          <w:lang w:val="en-US"/>
        </w:rPr>
      </w:pPr>
      <w:r w:rsidRPr="00EF1166">
        <w:rPr>
          <w:b/>
          <w:lang w:val="en-US"/>
        </w:rPr>
        <w:t>shk.yrs</w:t>
      </w:r>
      <w:r w:rsidRPr="00EF1166">
        <w:rPr>
          <w:lang w:val="en-US"/>
        </w:rPr>
        <w:t>&lt;-5</w:t>
      </w:r>
    </w:p>
    <w:p w:rsidR="00EF1166" w:rsidRPr="00EF1166" w:rsidRDefault="00EF1166" w:rsidP="00EF1166">
      <w:pPr>
        <w:spacing w:after="0"/>
        <w:contextualSpacing/>
        <w:rPr>
          <w:lang w:val="en-US"/>
        </w:rPr>
      </w:pPr>
      <w:r w:rsidRPr="00EF1166">
        <w:rPr>
          <w:lang w:val="en-US"/>
        </w:rPr>
        <w:t>#</w:t>
      </w:r>
      <w:proofErr w:type="gramStart"/>
      <w:r w:rsidRPr="00EF1166">
        <w:rPr>
          <w:lang w:val="en-US"/>
        </w:rPr>
        <w:t>The</w:t>
      </w:r>
      <w:proofErr w:type="gramEnd"/>
      <w:r w:rsidRPr="00EF1166">
        <w:rPr>
          <w:lang w:val="en-US"/>
        </w:rPr>
        <w:t xml:space="preserve"> number of ages to be used for shrinkage to F for terminal age. Class "integer"</w:t>
      </w:r>
    </w:p>
    <w:p w:rsidR="00EF1166" w:rsidRPr="00EF1166" w:rsidRDefault="00EF1166" w:rsidP="00EF1166">
      <w:pPr>
        <w:spacing w:after="0"/>
        <w:contextualSpacing/>
        <w:rPr>
          <w:lang w:val="en-US"/>
        </w:rPr>
      </w:pPr>
      <w:proofErr w:type="spellStart"/>
      <w:r w:rsidRPr="00EF1166">
        <w:rPr>
          <w:b/>
          <w:lang w:val="en-US"/>
        </w:rPr>
        <w:t>shk.ages</w:t>
      </w:r>
      <w:proofErr w:type="spellEnd"/>
      <w:r w:rsidRPr="00EF1166">
        <w:rPr>
          <w:lang w:val="en-US"/>
        </w:rPr>
        <w:t>&lt;-2</w:t>
      </w:r>
    </w:p>
    <w:p w:rsidR="00EF1166" w:rsidRPr="00EF1166" w:rsidRDefault="00EF1166" w:rsidP="00EF1166">
      <w:pPr>
        <w:spacing w:after="0"/>
        <w:contextualSpacing/>
        <w:rPr>
          <w:lang w:val="en-US"/>
        </w:rPr>
      </w:pPr>
      <w:r w:rsidRPr="00EF1166">
        <w:rPr>
          <w:lang w:val="en-US"/>
        </w:rPr>
        <w:t>#</w:t>
      </w:r>
      <w:proofErr w:type="gramStart"/>
      <w:r w:rsidRPr="00EF1166">
        <w:rPr>
          <w:lang w:val="en-US"/>
        </w:rPr>
        <w:t>The</w:t>
      </w:r>
      <w:proofErr w:type="gramEnd"/>
      <w:r w:rsidRPr="00EF1166">
        <w:rPr>
          <w:lang w:val="en-US"/>
        </w:rPr>
        <w:t xml:space="preserve"> time window to consider in the model fitting. Class "integer"</w:t>
      </w:r>
    </w:p>
    <w:p w:rsidR="00EF1166" w:rsidRPr="00EF1166" w:rsidRDefault="00EF1166" w:rsidP="00EF1166">
      <w:pPr>
        <w:spacing w:after="0"/>
        <w:contextualSpacing/>
        <w:rPr>
          <w:lang w:val="en-US"/>
        </w:rPr>
      </w:pPr>
      <w:proofErr w:type="gramStart"/>
      <w:r w:rsidRPr="00EF1166">
        <w:rPr>
          <w:b/>
          <w:lang w:val="en-US"/>
        </w:rPr>
        <w:t>window</w:t>
      </w:r>
      <w:proofErr w:type="gramEnd"/>
      <w:r w:rsidRPr="00EF1166">
        <w:rPr>
          <w:lang w:val="en-US"/>
        </w:rPr>
        <w:t>&lt;-100</w:t>
      </w:r>
    </w:p>
    <w:p w:rsidR="00EF1166" w:rsidRPr="00EF1166" w:rsidRDefault="00EF1166" w:rsidP="00EF1166">
      <w:pPr>
        <w:spacing w:after="0"/>
        <w:contextualSpacing/>
        <w:rPr>
          <w:lang w:val="en-US"/>
        </w:rPr>
      </w:pPr>
      <w:r w:rsidRPr="00EF1166">
        <w:rPr>
          <w:lang w:val="en-US"/>
        </w:rPr>
        <w:t>#</w:t>
      </w:r>
      <w:proofErr w:type="gramStart"/>
      <w:r w:rsidRPr="00EF1166">
        <w:rPr>
          <w:lang w:val="en-US"/>
        </w:rPr>
        <w:t>The</w:t>
      </w:r>
      <w:proofErr w:type="gramEnd"/>
      <w:r w:rsidRPr="00EF1166">
        <w:rPr>
          <w:lang w:val="en-US"/>
        </w:rPr>
        <w:t xml:space="preserve"> number of years to be used in the time series weighting. Class "integer" ~~ </w:t>
      </w:r>
    </w:p>
    <w:p w:rsidR="00EF1166" w:rsidRPr="00EF1166" w:rsidRDefault="00EF1166" w:rsidP="00EF1166">
      <w:pPr>
        <w:spacing w:after="0"/>
        <w:contextualSpacing/>
        <w:rPr>
          <w:lang w:val="en-US"/>
        </w:rPr>
      </w:pPr>
      <w:proofErr w:type="spellStart"/>
      <w:proofErr w:type="gramStart"/>
      <w:r w:rsidRPr="00EF1166">
        <w:rPr>
          <w:b/>
          <w:lang w:val="en-US"/>
        </w:rPr>
        <w:t>tsrange</w:t>
      </w:r>
      <w:proofErr w:type="spellEnd"/>
      <w:proofErr w:type="gramEnd"/>
      <w:r w:rsidRPr="00EF1166">
        <w:rPr>
          <w:lang w:val="en-US"/>
        </w:rPr>
        <w:t>&lt;-99</w:t>
      </w:r>
    </w:p>
    <w:p w:rsidR="00EF1166" w:rsidRPr="00E15773" w:rsidRDefault="00EF1166" w:rsidP="00EF1166">
      <w:pPr>
        <w:spacing w:after="0"/>
        <w:contextualSpacing/>
        <w:rPr>
          <w:lang w:val="en-US"/>
        </w:rPr>
      </w:pPr>
      <w:r w:rsidRPr="00EF1166">
        <w:rPr>
          <w:lang w:val="en-US"/>
        </w:rPr>
        <w:t>#</w:t>
      </w:r>
      <w:proofErr w:type="gramStart"/>
      <w:r w:rsidRPr="00EF1166">
        <w:rPr>
          <w:lang w:val="en-US"/>
        </w:rPr>
        <w:t>The</w:t>
      </w:r>
      <w:proofErr w:type="gramEnd"/>
      <w:r w:rsidRPr="00EF1166">
        <w:rPr>
          <w:lang w:val="en-US"/>
        </w:rPr>
        <w:t xml:space="preserve"> power to be used in the time series taper weighting. </w:t>
      </w:r>
      <w:r w:rsidRPr="00E15773">
        <w:rPr>
          <w:lang w:val="en-US"/>
        </w:rPr>
        <w:t>Class "integer"</w:t>
      </w:r>
    </w:p>
    <w:p w:rsidR="00EF1166" w:rsidRPr="00E15773" w:rsidRDefault="00EF1166" w:rsidP="00EF1166">
      <w:pPr>
        <w:spacing w:after="0"/>
        <w:contextualSpacing/>
        <w:rPr>
          <w:lang w:val="en-US"/>
        </w:rPr>
      </w:pPr>
      <w:proofErr w:type="spellStart"/>
      <w:proofErr w:type="gramStart"/>
      <w:r w:rsidRPr="00E15773">
        <w:rPr>
          <w:b/>
          <w:lang w:val="en-US"/>
        </w:rPr>
        <w:t>tspower</w:t>
      </w:r>
      <w:proofErr w:type="spellEnd"/>
      <w:proofErr w:type="gramEnd"/>
      <w:r w:rsidRPr="00E15773">
        <w:rPr>
          <w:lang w:val="en-US"/>
        </w:rPr>
        <w:t>&lt;-0</w:t>
      </w:r>
    </w:p>
    <w:p w:rsidR="00CC4B45" w:rsidRPr="00E15773" w:rsidRDefault="00CC4B45" w:rsidP="00CC4B45">
      <w:pPr>
        <w:spacing w:after="0"/>
        <w:contextualSpacing/>
        <w:rPr>
          <w:lang w:val="en-US"/>
        </w:rPr>
      </w:pPr>
    </w:p>
    <w:p w:rsidR="00CC4B45" w:rsidRPr="00B56513" w:rsidRDefault="001F14C3" w:rsidP="00CC4B45">
      <w:pPr>
        <w:spacing w:after="0"/>
        <w:contextualSpacing/>
        <w:rPr>
          <w:b/>
          <w:u w:val="single"/>
        </w:rPr>
      </w:pPr>
      <w:r w:rsidRPr="001F14C3">
        <w:rPr>
          <w:b/>
          <w:noProof/>
          <w:lang w:eastAsia="fr-FR"/>
        </w:rPr>
        <w:drawing>
          <wp:inline distT="0" distB="0" distL="0" distR="0">
            <wp:extent cx="268543" cy="212861"/>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267481" cy="212019"/>
                    </a:xfrm>
                    <a:prstGeom prst="rect">
                      <a:avLst/>
                    </a:prstGeom>
                    <a:noFill/>
                    <a:ln w="9525">
                      <a:noFill/>
                      <a:miter lim="800000"/>
                      <a:headEnd/>
                      <a:tailEnd/>
                    </a:ln>
                  </pic:spPr>
                </pic:pic>
              </a:graphicData>
            </a:graphic>
          </wp:inline>
        </w:drawing>
      </w:r>
      <w:r w:rsidRPr="00B56513">
        <w:rPr>
          <w:b/>
        </w:rPr>
        <w:t xml:space="preserve"> </w:t>
      </w:r>
      <w:r w:rsidR="002B361A" w:rsidRPr="00B56513">
        <w:rPr>
          <w:b/>
          <w:u w:val="single"/>
        </w:rPr>
        <w:t>Points critiques</w:t>
      </w:r>
    </w:p>
    <w:p w:rsidR="00CC4B45" w:rsidRPr="00B56513" w:rsidRDefault="00CC4B45" w:rsidP="00CC4B45">
      <w:pPr>
        <w:spacing w:after="0"/>
        <w:contextualSpacing/>
      </w:pPr>
    </w:p>
    <w:p w:rsidR="002B361A" w:rsidRDefault="002B361A" w:rsidP="00161DED">
      <w:pPr>
        <w:pStyle w:val="ListParagraph"/>
        <w:numPr>
          <w:ilvl w:val="0"/>
          <w:numId w:val="2"/>
        </w:numPr>
        <w:spacing w:after="0"/>
      </w:pPr>
      <w:r w:rsidRPr="002B361A">
        <w:t>Il faut impérativement que</w:t>
      </w:r>
      <w:r w:rsidR="00B56513">
        <w:t xml:space="preserve"> les séries temporelles et les matrices exportées depuis ISIS </w:t>
      </w:r>
      <w:r w:rsidR="00E57BBF">
        <w:t>possèdent</w:t>
      </w:r>
      <w:r w:rsidR="00B56513">
        <w:t xml:space="preserve"> le même nombre de groupe d’âge. </w:t>
      </w:r>
      <w:r w:rsidR="00E57BBF">
        <w:t xml:space="preserve">Il faudra donc </w:t>
      </w:r>
      <w:r w:rsidR="00161DED">
        <w:t xml:space="preserve">si besoin est </w:t>
      </w:r>
      <w:r w:rsidR="00E57BBF">
        <w:t>agréger certaines classes avant de les ajouter à l’objet stock dans FLR.</w:t>
      </w:r>
      <w:r w:rsidR="00B56513">
        <w:t xml:space="preserve"> </w:t>
      </w:r>
    </w:p>
    <w:p w:rsidR="00CC4B45" w:rsidRDefault="00161DED" w:rsidP="00161DED">
      <w:pPr>
        <w:pStyle w:val="ListParagraph"/>
        <w:numPr>
          <w:ilvl w:val="0"/>
          <w:numId w:val="1"/>
        </w:numPr>
        <w:spacing w:after="0"/>
      </w:pPr>
      <w:r>
        <w:t>Les librairies FLR fonctionnent actuellement (à la date de mars 2010) avec la version 2.8.1 de R, les librairies suivantes disponibles sur le site FLR-</w:t>
      </w:r>
      <w:proofErr w:type="spellStart"/>
      <w:r>
        <w:t>project</w:t>
      </w:r>
      <w:proofErr w:type="spellEnd"/>
      <w:r>
        <w:t xml:space="preserve"> doivent être installées au préalable :</w:t>
      </w:r>
    </w:p>
    <w:p w:rsidR="00161DED" w:rsidRDefault="00161DED" w:rsidP="00161DED">
      <w:pPr>
        <w:pStyle w:val="ListParagraph"/>
        <w:numPr>
          <w:ilvl w:val="1"/>
          <w:numId w:val="1"/>
        </w:numPr>
        <w:spacing w:after="0"/>
      </w:pPr>
      <w:r>
        <w:t>FLXSA</w:t>
      </w:r>
    </w:p>
    <w:p w:rsidR="00161DED" w:rsidRDefault="00161DED" w:rsidP="00161DED">
      <w:pPr>
        <w:pStyle w:val="ListParagraph"/>
        <w:numPr>
          <w:ilvl w:val="1"/>
          <w:numId w:val="1"/>
        </w:numPr>
        <w:spacing w:after="0"/>
      </w:pPr>
      <w:proofErr w:type="spellStart"/>
      <w:r>
        <w:t>FLAssess</w:t>
      </w:r>
      <w:proofErr w:type="spellEnd"/>
    </w:p>
    <w:p w:rsidR="00161DED" w:rsidRDefault="00161DED" w:rsidP="00161DED">
      <w:pPr>
        <w:pStyle w:val="ListParagraph"/>
        <w:numPr>
          <w:ilvl w:val="1"/>
          <w:numId w:val="1"/>
        </w:numPr>
        <w:spacing w:after="0"/>
      </w:pPr>
      <w:proofErr w:type="spellStart"/>
      <w:r>
        <w:t>FLcore</w:t>
      </w:r>
      <w:proofErr w:type="spellEnd"/>
    </w:p>
    <w:p w:rsidR="00161DED" w:rsidRPr="002B361A" w:rsidRDefault="00161DED" w:rsidP="00161DED">
      <w:pPr>
        <w:pStyle w:val="ListParagraph"/>
        <w:numPr>
          <w:ilvl w:val="0"/>
          <w:numId w:val="1"/>
        </w:numPr>
        <w:spacing w:after="0"/>
      </w:pPr>
      <w:r>
        <w:t>La variable d’environnement donnant le chemin de la bonne version de R  (2.8.1) doit être renseignée (</w:t>
      </w:r>
      <w:proofErr w:type="spellStart"/>
      <w:r>
        <w:t>cf</w:t>
      </w:r>
      <w:proofErr w:type="spellEnd"/>
      <w:r>
        <w:t xml:space="preserve"> </w:t>
      </w:r>
      <w:proofErr w:type="spellStart"/>
      <w:r>
        <w:t>tuto</w:t>
      </w:r>
      <w:proofErr w:type="spellEnd"/>
      <w:r>
        <w:t xml:space="preserve"> ISIS).</w:t>
      </w:r>
    </w:p>
    <w:p w:rsidR="005139FB" w:rsidRPr="002B361A" w:rsidRDefault="005139FB" w:rsidP="00CC4B45">
      <w:pPr>
        <w:spacing w:after="0"/>
        <w:contextualSpacing/>
      </w:pPr>
    </w:p>
    <w:p w:rsidR="00091E63" w:rsidRPr="002B361A" w:rsidRDefault="00091E63" w:rsidP="00CC4B45">
      <w:pPr>
        <w:spacing w:after="0" w:line="240" w:lineRule="auto"/>
        <w:contextualSpacing/>
      </w:pPr>
    </w:p>
    <w:p w:rsidR="00410D06" w:rsidRPr="002B361A" w:rsidRDefault="00410D06" w:rsidP="00CC4B45">
      <w:pPr>
        <w:spacing w:after="0" w:line="240" w:lineRule="auto"/>
        <w:contextualSpacing/>
      </w:pPr>
    </w:p>
    <w:p w:rsidR="007E17AD" w:rsidRPr="002B361A" w:rsidRDefault="007E17AD" w:rsidP="00CC4B45">
      <w:pPr>
        <w:spacing w:after="0" w:line="240" w:lineRule="auto"/>
        <w:contextualSpacing/>
      </w:pPr>
    </w:p>
    <w:p w:rsidR="00410D06" w:rsidRPr="002B361A" w:rsidRDefault="00410D06" w:rsidP="00CC4B45">
      <w:pPr>
        <w:spacing w:after="0" w:line="240" w:lineRule="auto"/>
        <w:contextualSpacing/>
      </w:pPr>
      <w:r w:rsidRPr="002B361A">
        <w:tab/>
      </w:r>
    </w:p>
    <w:p w:rsidR="007E17AD" w:rsidRPr="002B361A" w:rsidRDefault="007E17AD" w:rsidP="00CC4B45">
      <w:pPr>
        <w:spacing w:after="0" w:line="240" w:lineRule="auto"/>
        <w:contextualSpacing/>
        <w:rPr>
          <w:i/>
        </w:rPr>
      </w:pPr>
    </w:p>
    <w:p w:rsidR="0070254B" w:rsidRPr="002B361A" w:rsidRDefault="0070254B" w:rsidP="00CC4B45">
      <w:pPr>
        <w:spacing w:after="0"/>
        <w:contextualSpacing/>
      </w:pPr>
      <w:r w:rsidRPr="002B361A">
        <w:tab/>
      </w:r>
    </w:p>
    <w:p w:rsidR="0070254B" w:rsidRPr="002B361A" w:rsidRDefault="0070254B" w:rsidP="00CC4B45">
      <w:pPr>
        <w:spacing w:after="0"/>
        <w:contextualSpacing/>
      </w:pPr>
    </w:p>
    <w:p w:rsidR="0070254B" w:rsidRPr="002B361A" w:rsidRDefault="0070254B" w:rsidP="00CC4B45">
      <w:pPr>
        <w:spacing w:after="0"/>
        <w:contextualSpacing/>
      </w:pPr>
    </w:p>
    <w:p w:rsidR="0070254B" w:rsidRPr="002B361A" w:rsidRDefault="0070254B" w:rsidP="00CC4B45">
      <w:pPr>
        <w:spacing w:after="0"/>
        <w:contextualSpacing/>
      </w:pPr>
    </w:p>
    <w:p w:rsidR="0070254B" w:rsidRPr="002B361A" w:rsidRDefault="0070254B" w:rsidP="00CC4B45">
      <w:pPr>
        <w:spacing w:after="0"/>
        <w:contextualSpacing/>
      </w:pPr>
    </w:p>
    <w:sectPr w:rsidR="0070254B" w:rsidRPr="002B361A" w:rsidSect="00681B6F">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1331C3"/>
    <w:multiLevelType w:val="hybridMultilevel"/>
    <w:tmpl w:val="2AF20DC0"/>
    <w:lvl w:ilvl="0" w:tplc="BBA40B42">
      <w:numFmt w:val="bullet"/>
      <w:lvlText w:val="-"/>
      <w:lvlJc w:val="left"/>
      <w:pPr>
        <w:ind w:left="1065" w:hanging="360"/>
      </w:pPr>
      <w:rPr>
        <w:rFonts w:ascii="Calibri" w:eastAsiaTheme="minorHAnsi" w:hAnsi="Calibri" w:cs="Calibri" w:hint="default"/>
      </w:rPr>
    </w:lvl>
    <w:lvl w:ilvl="1" w:tplc="040C0003">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
    <w:nsid w:val="25FB3931"/>
    <w:multiLevelType w:val="hybridMultilevel"/>
    <w:tmpl w:val="31781836"/>
    <w:lvl w:ilvl="0" w:tplc="2CC04060">
      <w:numFmt w:val="bullet"/>
      <w:lvlText w:val="-"/>
      <w:lvlJc w:val="left"/>
      <w:pPr>
        <w:ind w:left="1068" w:hanging="360"/>
      </w:pPr>
      <w:rPr>
        <w:rFonts w:ascii="Calibri" w:eastAsiaTheme="minorHAnsi" w:hAnsi="Calibri" w:cs="Calibri"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9"/>
  <w:proofState w:spelling="clean" w:grammar="clean"/>
  <w:defaultTabStop w:val="708"/>
  <w:hyphenationZone w:val="425"/>
  <w:characterSpacingControl w:val="doNotCompress"/>
  <w:compat/>
  <w:rsids>
    <w:rsidRoot w:val="0070254B"/>
    <w:rsid w:val="00091E63"/>
    <w:rsid w:val="00161DED"/>
    <w:rsid w:val="001F14C3"/>
    <w:rsid w:val="002B361A"/>
    <w:rsid w:val="00410D06"/>
    <w:rsid w:val="005139FB"/>
    <w:rsid w:val="0067522E"/>
    <w:rsid w:val="00681B6F"/>
    <w:rsid w:val="0070254B"/>
    <w:rsid w:val="007E17AD"/>
    <w:rsid w:val="009D13BD"/>
    <w:rsid w:val="00B56513"/>
    <w:rsid w:val="00BE24E3"/>
    <w:rsid w:val="00CC4B45"/>
    <w:rsid w:val="00E15773"/>
    <w:rsid w:val="00E57BBF"/>
    <w:rsid w:val="00EF1166"/>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B6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025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0254B"/>
    <w:rPr>
      <w:rFonts w:ascii="Tahoma" w:hAnsi="Tahoma" w:cs="Tahoma"/>
      <w:sz w:val="16"/>
      <w:szCs w:val="16"/>
    </w:rPr>
  </w:style>
  <w:style w:type="character" w:styleId="Hyperlink">
    <w:name w:val="Hyperlink"/>
    <w:basedOn w:val="DefaultParagraphFont"/>
    <w:uiPriority w:val="99"/>
    <w:unhideWhenUsed/>
    <w:rsid w:val="00091E63"/>
    <w:rPr>
      <w:color w:val="0000FF" w:themeColor="hyperlink"/>
      <w:u w:val="single"/>
    </w:rPr>
  </w:style>
  <w:style w:type="paragraph" w:styleId="ListParagraph">
    <w:name w:val="List Paragraph"/>
    <w:basedOn w:val="Normal"/>
    <w:uiPriority w:val="34"/>
    <w:qFormat/>
    <w:rsid w:val="00161DE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diagramQuickStyle" Target="diagrams/quickStyle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diagramLayout" Target="diagrams/layout1.xml"/><Relationship Id="rId12"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diagramData" Target="diagrams/data1.xml"/><Relationship Id="rId11" Type="http://schemas.openxmlformats.org/officeDocument/2006/relationships/image" Target="media/image1.png"/><Relationship Id="rId5" Type="http://schemas.openxmlformats.org/officeDocument/2006/relationships/hyperlink" Target="http://www.flr-project.org" TargetMode="External"/><Relationship Id="rId10" Type="http://schemas.microsoft.com/office/2007/relationships/diagramDrawing" Target="diagrams/drawing1.xml"/><Relationship Id="rId4" Type="http://schemas.openxmlformats.org/officeDocument/2006/relationships/webSettings" Target="webSettings.xml"/><Relationship Id="rId9" Type="http://schemas.openxmlformats.org/officeDocument/2006/relationships/diagramColors" Target="diagrams/colors1.xml"/><Relationship Id="rId14"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accent3_1">
  <dgm:title val=""/>
  <dgm:desc val=""/>
  <dgm:catLst>
    <dgm:cat type="accent3" pri="11100"/>
  </dgm:catLst>
  <dgm:styleLbl name="node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3">
        <a:shade val="80000"/>
      </a:schemeClr>
    </dgm:linClrLst>
    <dgm:effectClrLst/>
    <dgm:txLinClrLst/>
    <dgm:txFillClrLst/>
    <dgm:txEffectClrLst/>
  </dgm:styleLbl>
  <dgm:styleLbl name="node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f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align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bgImgPlace1">
    <dgm:fillClrLst meth="repeat">
      <a:schemeClr val="accent3">
        <a:tint val="40000"/>
      </a:schemeClr>
    </dgm:fillClrLst>
    <dgm:linClrLst meth="repeat">
      <a:schemeClr val="accent3">
        <a:shade val="80000"/>
      </a:schemeClr>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meth="repeat">
      <a:schemeClr val="dk1"/>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dgm:linClrLst>
    <dgm:effectClrLst/>
    <dgm:txLinClrLst/>
    <dgm:txFillClrLst meth="repeat">
      <a:schemeClr val="tx1"/>
    </dgm:txFillClrLst>
    <dgm:txEffectClrLst/>
  </dgm:styleLbl>
  <dgm:styleLbl name="asst0">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3">
        <a:shade val="80000"/>
      </a:schemeClr>
    </dgm:linClrLst>
    <dgm:effectClrLst/>
    <dgm:txLinClrLst/>
    <dgm:txFillClrLst meth="repeat">
      <a:schemeClr val="dk1"/>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dgm:txEffectClrLst/>
  </dgm:styleLbl>
  <dgm:styleLbl name="parChTrans2D2">
    <dgm:fillClrLst meth="repeat">
      <a:schemeClr val="accent3"/>
    </dgm:fillClrLst>
    <dgm:linClrLst meth="repeat">
      <a:schemeClr val="accent3"/>
    </dgm:linClrLst>
    <dgm:effectClrLst/>
    <dgm:txLinClrLst/>
    <dgm:txFillClrLst/>
    <dgm:txEffectClrLst/>
  </dgm:styleLbl>
  <dgm:styleLbl name="parChTrans2D3">
    <dgm:fillClrLst meth="repeat">
      <a:schemeClr val="accent3"/>
    </dgm:fillClrLst>
    <dgm:linClrLst meth="repeat">
      <a:schemeClr val="accent3"/>
    </dgm:linClrLst>
    <dgm:effectClrLst/>
    <dgm:txLinClrLst/>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conF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align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trAlignAcc1">
    <dgm:fillClrLst meth="repeat">
      <a:schemeClr val="accent3">
        <a:alpha val="40000"/>
        <a:tint val="40000"/>
      </a:schemeClr>
    </dgm:fillClrLst>
    <dgm:linClrLst meth="repeat">
      <a:schemeClr val="accent3"/>
    </dgm:linClrLst>
    <dgm:effectClrLst/>
    <dgm:txLinClrLst/>
    <dgm:txFillClrLst meth="repeat">
      <a:schemeClr val="dk1"/>
    </dgm:txFillClrLst>
    <dgm:txEffectClrLst/>
  </dgm:styleLbl>
  <dgm:styleLbl name="bgAcc1">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3">
        <a:alpha val="90000"/>
      </a:schemeClr>
    </dgm:linClrLst>
    <dgm:effectClrLst/>
    <dgm:txLinClrLst/>
    <dgm:txFillClrLst meth="repeat">
      <a:schemeClr val="dk1"/>
    </dgm:txFillClrLst>
    <dgm:txEffectClrLst/>
  </dgm:styleLbl>
  <dgm:styleLbl name="fgAcc0">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2">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3">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fgAcc4">
    <dgm:fillClrLst meth="repeat">
      <a:schemeClr val="accent3">
        <a:alpha val="90000"/>
        <a:tint val="4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2F5ECBC8-2B3A-4166-9BA7-CDDEE912AA7B}" type="doc">
      <dgm:prSet loTypeId="urn:microsoft.com/office/officeart/2005/8/layout/process2" loCatId="process" qsTypeId="urn:microsoft.com/office/officeart/2005/8/quickstyle/3d3" qsCatId="3D" csTypeId="urn:microsoft.com/office/officeart/2005/8/colors/accent3_1" csCatId="accent3" phldr="1"/>
      <dgm:spPr/>
      <dgm:t>
        <a:bodyPr/>
        <a:lstStyle/>
        <a:p>
          <a:endParaRPr lang="fr-FR"/>
        </a:p>
      </dgm:t>
    </dgm:pt>
    <dgm:pt modelId="{2D61E6C7-FA43-40B1-BB2C-B361A3121D33}">
      <dgm:prSet phldrT="[Text]"/>
      <dgm:spPr/>
      <dgm:t>
        <a:bodyPr/>
        <a:lstStyle/>
        <a:p>
          <a:r>
            <a:rPr lang="fr-FR"/>
            <a:t>Import dans FLR des séries temporelles du stock, structurées en âge, comprenant les abondances, les captures, les éventuels rejets, la mortalité naturelle, les poids moyens. Création d'un objet STOCK.</a:t>
          </a:r>
        </a:p>
      </dgm:t>
    </dgm:pt>
    <dgm:pt modelId="{38A7668B-FD29-4C22-BF7B-840C346FD9D8}" type="parTrans" cxnId="{FEDD5DDA-CC01-4767-96E2-AD191C51E343}">
      <dgm:prSet/>
      <dgm:spPr/>
      <dgm:t>
        <a:bodyPr/>
        <a:lstStyle/>
        <a:p>
          <a:endParaRPr lang="fr-FR"/>
        </a:p>
      </dgm:t>
    </dgm:pt>
    <dgm:pt modelId="{15E02C51-DD46-475D-9E3A-0D7C276CAD21}" type="sibTrans" cxnId="{FEDD5DDA-CC01-4767-96E2-AD191C51E343}">
      <dgm:prSet/>
      <dgm:spPr/>
      <dgm:t>
        <a:bodyPr/>
        <a:lstStyle/>
        <a:p>
          <a:endParaRPr lang="fr-FR"/>
        </a:p>
      </dgm:t>
    </dgm:pt>
    <dgm:pt modelId="{62BEAD0C-9977-4A40-88BC-99DD1679C869}">
      <dgm:prSet phldrT="[Text]"/>
      <dgm:spPr/>
      <dgm:t>
        <a:bodyPr/>
        <a:lstStyle/>
        <a:p>
          <a:r>
            <a:rPr lang="fr-FR"/>
            <a:t>Réalisation d'une XSA dans FLR, export des variables d'intéret (Fbar, SSB) vers ISIS.</a:t>
          </a:r>
        </a:p>
      </dgm:t>
    </dgm:pt>
    <dgm:pt modelId="{AE94495D-4AF3-4F6E-A927-15D6A2C3575F}" type="parTrans" cxnId="{3A2AEDAF-F3FF-4FE7-8DBC-898C69564257}">
      <dgm:prSet/>
      <dgm:spPr/>
      <dgm:t>
        <a:bodyPr/>
        <a:lstStyle/>
        <a:p>
          <a:endParaRPr lang="fr-FR"/>
        </a:p>
      </dgm:t>
    </dgm:pt>
    <dgm:pt modelId="{0BF5FE70-24B5-406F-A5DE-E9E3636714E4}" type="sibTrans" cxnId="{3A2AEDAF-F3FF-4FE7-8DBC-898C69564257}">
      <dgm:prSet/>
      <dgm:spPr/>
      <dgm:t>
        <a:bodyPr/>
        <a:lstStyle/>
        <a:p>
          <a:endParaRPr lang="fr-FR"/>
        </a:p>
      </dgm:t>
    </dgm:pt>
    <dgm:pt modelId="{E0B7B7D1-B3F5-47B5-922B-EECED0CB6A18}">
      <dgm:prSet phldrT="[Text]"/>
      <dgm:spPr/>
      <dgm:t>
        <a:bodyPr/>
        <a:lstStyle/>
        <a:p>
          <a:r>
            <a:rPr lang="fr-FR"/>
            <a:t>Application d'une règle de gestion (TAC) en fonction de ces variables.</a:t>
          </a:r>
        </a:p>
      </dgm:t>
    </dgm:pt>
    <dgm:pt modelId="{47030D66-3278-4866-B936-62E71B9E6B37}" type="parTrans" cxnId="{1978EE2F-6681-4D87-8833-7E63A34A11AC}">
      <dgm:prSet/>
      <dgm:spPr/>
      <dgm:t>
        <a:bodyPr/>
        <a:lstStyle/>
        <a:p>
          <a:endParaRPr lang="fr-FR"/>
        </a:p>
      </dgm:t>
    </dgm:pt>
    <dgm:pt modelId="{3E1B90C9-DA1C-445E-BB11-BFB9124859A2}" type="sibTrans" cxnId="{1978EE2F-6681-4D87-8833-7E63A34A11AC}">
      <dgm:prSet/>
      <dgm:spPr/>
      <dgm:t>
        <a:bodyPr/>
        <a:lstStyle/>
        <a:p>
          <a:endParaRPr lang="fr-FR"/>
        </a:p>
      </dgm:t>
    </dgm:pt>
    <dgm:pt modelId="{59AC6E83-F02D-48A8-A8AA-2239ABE72D38}">
      <dgm:prSet/>
      <dgm:spPr/>
      <dgm:t>
        <a:bodyPr/>
        <a:lstStyle/>
        <a:p>
          <a:r>
            <a:rPr lang="fr-FR"/>
            <a:t>Simulation ISIS sur un an.</a:t>
          </a:r>
        </a:p>
      </dgm:t>
    </dgm:pt>
    <dgm:pt modelId="{4B48F645-EAB1-49A5-BDF2-29269B2BF63E}" type="parTrans" cxnId="{7C649FFA-FE27-4F49-8F76-429CB3DCBDAF}">
      <dgm:prSet/>
      <dgm:spPr/>
      <dgm:t>
        <a:bodyPr/>
        <a:lstStyle/>
        <a:p>
          <a:endParaRPr lang="fr-FR"/>
        </a:p>
      </dgm:t>
    </dgm:pt>
    <dgm:pt modelId="{7E1EE964-0987-4FAB-A09C-D7BB27207F7D}" type="sibTrans" cxnId="{7C649FFA-FE27-4F49-8F76-429CB3DCBDAF}">
      <dgm:prSet/>
      <dgm:spPr/>
      <dgm:t>
        <a:bodyPr/>
        <a:lstStyle/>
        <a:p>
          <a:endParaRPr lang="fr-FR"/>
        </a:p>
      </dgm:t>
    </dgm:pt>
    <dgm:pt modelId="{031ADB70-EE4E-4AB4-81BB-45E4C652BD0E}">
      <dgm:prSet/>
      <dgm:spPr/>
      <dgm:t>
        <a:bodyPr/>
        <a:lstStyle/>
        <a:p>
          <a:r>
            <a:rPr lang="fr-FR"/>
            <a:t>Export des sorties de l'année depuis ISIS vers FLR. Mise à jour de l'objet STOCK et des séries de référence.</a:t>
          </a:r>
        </a:p>
      </dgm:t>
    </dgm:pt>
    <dgm:pt modelId="{96FFB195-1405-4E7C-B37E-D60F2A239CA0}" type="parTrans" cxnId="{A7422030-ACEE-40EB-9BEE-A9E72B51F811}">
      <dgm:prSet/>
      <dgm:spPr/>
      <dgm:t>
        <a:bodyPr/>
        <a:lstStyle/>
        <a:p>
          <a:endParaRPr lang="fr-FR"/>
        </a:p>
      </dgm:t>
    </dgm:pt>
    <dgm:pt modelId="{F6E9F3C6-0704-467B-9F1C-E9CDFC0BC957}" type="sibTrans" cxnId="{A7422030-ACEE-40EB-9BEE-A9E72B51F811}">
      <dgm:prSet/>
      <dgm:spPr/>
      <dgm:t>
        <a:bodyPr/>
        <a:lstStyle/>
        <a:p>
          <a:endParaRPr lang="fr-FR"/>
        </a:p>
      </dgm:t>
    </dgm:pt>
    <dgm:pt modelId="{1B016C1C-53DE-4FEF-8F0C-5D85CC0E423A}" type="pres">
      <dgm:prSet presAssocID="{2F5ECBC8-2B3A-4166-9BA7-CDDEE912AA7B}" presName="linearFlow" presStyleCnt="0">
        <dgm:presLayoutVars>
          <dgm:resizeHandles val="exact"/>
        </dgm:presLayoutVars>
      </dgm:prSet>
      <dgm:spPr/>
      <dgm:t>
        <a:bodyPr/>
        <a:lstStyle/>
        <a:p>
          <a:endParaRPr lang="fr-FR"/>
        </a:p>
      </dgm:t>
    </dgm:pt>
    <dgm:pt modelId="{D02036E2-020F-4BD9-A103-1E3B99162A7C}" type="pres">
      <dgm:prSet presAssocID="{2D61E6C7-FA43-40B1-BB2C-B361A3121D33}" presName="node" presStyleLbl="node1" presStyleIdx="0" presStyleCnt="5">
        <dgm:presLayoutVars>
          <dgm:bulletEnabled val="1"/>
        </dgm:presLayoutVars>
      </dgm:prSet>
      <dgm:spPr/>
      <dgm:t>
        <a:bodyPr/>
        <a:lstStyle/>
        <a:p>
          <a:endParaRPr lang="fr-FR"/>
        </a:p>
      </dgm:t>
    </dgm:pt>
    <dgm:pt modelId="{9653AA95-6BE6-415B-B3BD-5E01957AB27F}" type="pres">
      <dgm:prSet presAssocID="{15E02C51-DD46-475D-9E3A-0D7C276CAD21}" presName="sibTrans" presStyleLbl="sibTrans2D1" presStyleIdx="0" presStyleCnt="4"/>
      <dgm:spPr/>
      <dgm:t>
        <a:bodyPr/>
        <a:lstStyle/>
        <a:p>
          <a:endParaRPr lang="fr-FR"/>
        </a:p>
      </dgm:t>
    </dgm:pt>
    <dgm:pt modelId="{00A95A9C-D68C-419A-8257-0ED17AF290E2}" type="pres">
      <dgm:prSet presAssocID="{15E02C51-DD46-475D-9E3A-0D7C276CAD21}" presName="connectorText" presStyleLbl="sibTrans2D1" presStyleIdx="0" presStyleCnt="4"/>
      <dgm:spPr/>
      <dgm:t>
        <a:bodyPr/>
        <a:lstStyle/>
        <a:p>
          <a:endParaRPr lang="fr-FR"/>
        </a:p>
      </dgm:t>
    </dgm:pt>
    <dgm:pt modelId="{53DEBF07-E060-4D8B-B15C-890AAF93B5AE}" type="pres">
      <dgm:prSet presAssocID="{62BEAD0C-9977-4A40-88BC-99DD1679C869}" presName="node" presStyleLbl="node1" presStyleIdx="1" presStyleCnt="5">
        <dgm:presLayoutVars>
          <dgm:bulletEnabled val="1"/>
        </dgm:presLayoutVars>
      </dgm:prSet>
      <dgm:spPr/>
      <dgm:t>
        <a:bodyPr/>
        <a:lstStyle/>
        <a:p>
          <a:endParaRPr lang="fr-FR"/>
        </a:p>
      </dgm:t>
    </dgm:pt>
    <dgm:pt modelId="{DAED621F-0581-4342-90ED-4431D292EE45}" type="pres">
      <dgm:prSet presAssocID="{0BF5FE70-24B5-406F-A5DE-E9E3636714E4}" presName="sibTrans" presStyleLbl="sibTrans2D1" presStyleIdx="1" presStyleCnt="4"/>
      <dgm:spPr/>
      <dgm:t>
        <a:bodyPr/>
        <a:lstStyle/>
        <a:p>
          <a:endParaRPr lang="fr-FR"/>
        </a:p>
      </dgm:t>
    </dgm:pt>
    <dgm:pt modelId="{B14CC7D5-52C3-4122-8538-7D5D7A982468}" type="pres">
      <dgm:prSet presAssocID="{0BF5FE70-24B5-406F-A5DE-E9E3636714E4}" presName="connectorText" presStyleLbl="sibTrans2D1" presStyleIdx="1" presStyleCnt="4"/>
      <dgm:spPr/>
      <dgm:t>
        <a:bodyPr/>
        <a:lstStyle/>
        <a:p>
          <a:endParaRPr lang="fr-FR"/>
        </a:p>
      </dgm:t>
    </dgm:pt>
    <dgm:pt modelId="{3C37E4EE-0654-47B6-A95C-A2FAA3F7ECD7}" type="pres">
      <dgm:prSet presAssocID="{E0B7B7D1-B3F5-47B5-922B-EECED0CB6A18}" presName="node" presStyleLbl="node1" presStyleIdx="2" presStyleCnt="5">
        <dgm:presLayoutVars>
          <dgm:bulletEnabled val="1"/>
        </dgm:presLayoutVars>
      </dgm:prSet>
      <dgm:spPr/>
      <dgm:t>
        <a:bodyPr/>
        <a:lstStyle/>
        <a:p>
          <a:endParaRPr lang="fr-FR"/>
        </a:p>
      </dgm:t>
    </dgm:pt>
    <dgm:pt modelId="{E1B51AB6-818C-4F0F-90E6-3DEB57C1DFFB}" type="pres">
      <dgm:prSet presAssocID="{3E1B90C9-DA1C-445E-BB11-BFB9124859A2}" presName="sibTrans" presStyleLbl="sibTrans2D1" presStyleIdx="2" presStyleCnt="4"/>
      <dgm:spPr/>
      <dgm:t>
        <a:bodyPr/>
        <a:lstStyle/>
        <a:p>
          <a:endParaRPr lang="fr-FR"/>
        </a:p>
      </dgm:t>
    </dgm:pt>
    <dgm:pt modelId="{0E966EAA-219C-4272-A5D0-88EB89A2BACD}" type="pres">
      <dgm:prSet presAssocID="{3E1B90C9-DA1C-445E-BB11-BFB9124859A2}" presName="connectorText" presStyleLbl="sibTrans2D1" presStyleIdx="2" presStyleCnt="4"/>
      <dgm:spPr/>
      <dgm:t>
        <a:bodyPr/>
        <a:lstStyle/>
        <a:p>
          <a:endParaRPr lang="fr-FR"/>
        </a:p>
      </dgm:t>
    </dgm:pt>
    <dgm:pt modelId="{E0248B65-058C-472B-A870-37E79B1BC2EF}" type="pres">
      <dgm:prSet presAssocID="{59AC6E83-F02D-48A8-A8AA-2239ABE72D38}" presName="node" presStyleLbl="node1" presStyleIdx="3" presStyleCnt="5">
        <dgm:presLayoutVars>
          <dgm:bulletEnabled val="1"/>
        </dgm:presLayoutVars>
      </dgm:prSet>
      <dgm:spPr/>
      <dgm:t>
        <a:bodyPr/>
        <a:lstStyle/>
        <a:p>
          <a:endParaRPr lang="fr-FR"/>
        </a:p>
      </dgm:t>
    </dgm:pt>
    <dgm:pt modelId="{14DAF6B9-3F15-4C09-8053-85F35B6B7705}" type="pres">
      <dgm:prSet presAssocID="{7E1EE964-0987-4FAB-A09C-D7BB27207F7D}" presName="sibTrans" presStyleLbl="sibTrans2D1" presStyleIdx="3" presStyleCnt="4"/>
      <dgm:spPr/>
      <dgm:t>
        <a:bodyPr/>
        <a:lstStyle/>
        <a:p>
          <a:endParaRPr lang="fr-FR"/>
        </a:p>
      </dgm:t>
    </dgm:pt>
    <dgm:pt modelId="{86D42358-A3C6-43B8-8CEF-0E32507328D7}" type="pres">
      <dgm:prSet presAssocID="{7E1EE964-0987-4FAB-A09C-D7BB27207F7D}" presName="connectorText" presStyleLbl="sibTrans2D1" presStyleIdx="3" presStyleCnt="4"/>
      <dgm:spPr/>
      <dgm:t>
        <a:bodyPr/>
        <a:lstStyle/>
        <a:p>
          <a:endParaRPr lang="fr-FR"/>
        </a:p>
      </dgm:t>
    </dgm:pt>
    <dgm:pt modelId="{B7A17582-D5F6-4E01-A47F-CE585954C60F}" type="pres">
      <dgm:prSet presAssocID="{031ADB70-EE4E-4AB4-81BB-45E4C652BD0E}" presName="node" presStyleLbl="node1" presStyleIdx="4" presStyleCnt="5">
        <dgm:presLayoutVars>
          <dgm:bulletEnabled val="1"/>
        </dgm:presLayoutVars>
      </dgm:prSet>
      <dgm:spPr/>
      <dgm:t>
        <a:bodyPr/>
        <a:lstStyle/>
        <a:p>
          <a:endParaRPr lang="fr-FR"/>
        </a:p>
      </dgm:t>
    </dgm:pt>
  </dgm:ptLst>
  <dgm:cxnLst>
    <dgm:cxn modelId="{BD633363-59BA-4D0F-A8B9-D94DFF17E8C4}" type="presOf" srcId="{E0B7B7D1-B3F5-47B5-922B-EECED0CB6A18}" destId="{3C37E4EE-0654-47B6-A95C-A2FAA3F7ECD7}" srcOrd="0" destOrd="0" presId="urn:microsoft.com/office/officeart/2005/8/layout/process2"/>
    <dgm:cxn modelId="{A5379D33-6A4D-4696-A409-668A7526A1BC}" type="presOf" srcId="{15E02C51-DD46-475D-9E3A-0D7C276CAD21}" destId="{00A95A9C-D68C-419A-8257-0ED17AF290E2}" srcOrd="1" destOrd="0" presId="urn:microsoft.com/office/officeart/2005/8/layout/process2"/>
    <dgm:cxn modelId="{45A22716-9BAF-40D6-A386-DF4DFA1613A8}" type="presOf" srcId="{2F5ECBC8-2B3A-4166-9BA7-CDDEE912AA7B}" destId="{1B016C1C-53DE-4FEF-8F0C-5D85CC0E423A}" srcOrd="0" destOrd="0" presId="urn:microsoft.com/office/officeart/2005/8/layout/process2"/>
    <dgm:cxn modelId="{A7422030-ACEE-40EB-9BEE-A9E72B51F811}" srcId="{2F5ECBC8-2B3A-4166-9BA7-CDDEE912AA7B}" destId="{031ADB70-EE4E-4AB4-81BB-45E4C652BD0E}" srcOrd="4" destOrd="0" parTransId="{96FFB195-1405-4E7C-B37E-D60F2A239CA0}" sibTransId="{F6E9F3C6-0704-467B-9F1C-E9CDFC0BC957}"/>
    <dgm:cxn modelId="{8F0BF47A-AC13-4985-929B-E62A975A80A5}" type="presOf" srcId="{15E02C51-DD46-475D-9E3A-0D7C276CAD21}" destId="{9653AA95-6BE6-415B-B3BD-5E01957AB27F}" srcOrd="0" destOrd="0" presId="urn:microsoft.com/office/officeart/2005/8/layout/process2"/>
    <dgm:cxn modelId="{3A2AEDAF-F3FF-4FE7-8DBC-898C69564257}" srcId="{2F5ECBC8-2B3A-4166-9BA7-CDDEE912AA7B}" destId="{62BEAD0C-9977-4A40-88BC-99DD1679C869}" srcOrd="1" destOrd="0" parTransId="{AE94495D-4AF3-4F6E-A927-15D6A2C3575F}" sibTransId="{0BF5FE70-24B5-406F-A5DE-E9E3636714E4}"/>
    <dgm:cxn modelId="{FEDD5DDA-CC01-4767-96E2-AD191C51E343}" srcId="{2F5ECBC8-2B3A-4166-9BA7-CDDEE912AA7B}" destId="{2D61E6C7-FA43-40B1-BB2C-B361A3121D33}" srcOrd="0" destOrd="0" parTransId="{38A7668B-FD29-4C22-BF7B-840C346FD9D8}" sibTransId="{15E02C51-DD46-475D-9E3A-0D7C276CAD21}"/>
    <dgm:cxn modelId="{7C649FFA-FE27-4F49-8F76-429CB3DCBDAF}" srcId="{2F5ECBC8-2B3A-4166-9BA7-CDDEE912AA7B}" destId="{59AC6E83-F02D-48A8-A8AA-2239ABE72D38}" srcOrd="3" destOrd="0" parTransId="{4B48F645-EAB1-49A5-BDF2-29269B2BF63E}" sibTransId="{7E1EE964-0987-4FAB-A09C-D7BB27207F7D}"/>
    <dgm:cxn modelId="{C1A3186A-06AA-4DDB-B211-BB6C100517CA}" type="presOf" srcId="{7E1EE964-0987-4FAB-A09C-D7BB27207F7D}" destId="{86D42358-A3C6-43B8-8CEF-0E32507328D7}" srcOrd="1" destOrd="0" presId="urn:microsoft.com/office/officeart/2005/8/layout/process2"/>
    <dgm:cxn modelId="{D5A2FBC7-7C8B-440D-A858-B65405F098AC}" type="presOf" srcId="{031ADB70-EE4E-4AB4-81BB-45E4C652BD0E}" destId="{B7A17582-D5F6-4E01-A47F-CE585954C60F}" srcOrd="0" destOrd="0" presId="urn:microsoft.com/office/officeart/2005/8/layout/process2"/>
    <dgm:cxn modelId="{BD84184A-E1ED-43CF-BFCB-885FC9765B37}" type="presOf" srcId="{3E1B90C9-DA1C-445E-BB11-BFB9124859A2}" destId="{E1B51AB6-818C-4F0F-90E6-3DEB57C1DFFB}" srcOrd="0" destOrd="0" presId="urn:microsoft.com/office/officeart/2005/8/layout/process2"/>
    <dgm:cxn modelId="{894C6FE6-626D-4F08-90CB-BD224C378DA2}" type="presOf" srcId="{62BEAD0C-9977-4A40-88BC-99DD1679C869}" destId="{53DEBF07-E060-4D8B-B15C-890AAF93B5AE}" srcOrd="0" destOrd="0" presId="urn:microsoft.com/office/officeart/2005/8/layout/process2"/>
    <dgm:cxn modelId="{28E29724-4C90-4EFD-9C6A-7AAC05634512}" type="presOf" srcId="{2D61E6C7-FA43-40B1-BB2C-B361A3121D33}" destId="{D02036E2-020F-4BD9-A103-1E3B99162A7C}" srcOrd="0" destOrd="0" presId="urn:microsoft.com/office/officeart/2005/8/layout/process2"/>
    <dgm:cxn modelId="{B1594F57-3931-4330-89E8-EEE7BD137BCD}" type="presOf" srcId="{7E1EE964-0987-4FAB-A09C-D7BB27207F7D}" destId="{14DAF6B9-3F15-4C09-8053-85F35B6B7705}" srcOrd="0" destOrd="0" presId="urn:microsoft.com/office/officeart/2005/8/layout/process2"/>
    <dgm:cxn modelId="{1978EE2F-6681-4D87-8833-7E63A34A11AC}" srcId="{2F5ECBC8-2B3A-4166-9BA7-CDDEE912AA7B}" destId="{E0B7B7D1-B3F5-47B5-922B-EECED0CB6A18}" srcOrd="2" destOrd="0" parTransId="{47030D66-3278-4866-B936-62E71B9E6B37}" sibTransId="{3E1B90C9-DA1C-445E-BB11-BFB9124859A2}"/>
    <dgm:cxn modelId="{88245DAA-FC46-4F6D-8D02-91E4FD8B6470}" type="presOf" srcId="{0BF5FE70-24B5-406F-A5DE-E9E3636714E4}" destId="{B14CC7D5-52C3-4122-8538-7D5D7A982468}" srcOrd="1" destOrd="0" presId="urn:microsoft.com/office/officeart/2005/8/layout/process2"/>
    <dgm:cxn modelId="{E551AD1C-FE56-4617-8822-419F84FAF981}" type="presOf" srcId="{3E1B90C9-DA1C-445E-BB11-BFB9124859A2}" destId="{0E966EAA-219C-4272-A5D0-88EB89A2BACD}" srcOrd="1" destOrd="0" presId="urn:microsoft.com/office/officeart/2005/8/layout/process2"/>
    <dgm:cxn modelId="{0610393F-C79A-4143-9638-85D020D3CD74}" type="presOf" srcId="{0BF5FE70-24B5-406F-A5DE-E9E3636714E4}" destId="{DAED621F-0581-4342-90ED-4431D292EE45}" srcOrd="0" destOrd="0" presId="urn:microsoft.com/office/officeart/2005/8/layout/process2"/>
    <dgm:cxn modelId="{79544082-6D52-4875-8BE7-16C214521512}" type="presOf" srcId="{59AC6E83-F02D-48A8-A8AA-2239ABE72D38}" destId="{E0248B65-058C-472B-A870-37E79B1BC2EF}" srcOrd="0" destOrd="0" presId="urn:microsoft.com/office/officeart/2005/8/layout/process2"/>
    <dgm:cxn modelId="{57C65448-CB05-4436-889B-B6FF83BD029F}" type="presParOf" srcId="{1B016C1C-53DE-4FEF-8F0C-5D85CC0E423A}" destId="{D02036E2-020F-4BD9-A103-1E3B99162A7C}" srcOrd="0" destOrd="0" presId="urn:microsoft.com/office/officeart/2005/8/layout/process2"/>
    <dgm:cxn modelId="{EE8C1205-DAA1-4294-A2AF-BD532BC68ED1}" type="presParOf" srcId="{1B016C1C-53DE-4FEF-8F0C-5D85CC0E423A}" destId="{9653AA95-6BE6-415B-B3BD-5E01957AB27F}" srcOrd="1" destOrd="0" presId="urn:microsoft.com/office/officeart/2005/8/layout/process2"/>
    <dgm:cxn modelId="{9CD339DC-C570-441A-B7E3-FF8EE60CCB01}" type="presParOf" srcId="{9653AA95-6BE6-415B-B3BD-5E01957AB27F}" destId="{00A95A9C-D68C-419A-8257-0ED17AF290E2}" srcOrd="0" destOrd="0" presId="urn:microsoft.com/office/officeart/2005/8/layout/process2"/>
    <dgm:cxn modelId="{A166C196-6EDE-45A4-9A6F-C3FAA74C9615}" type="presParOf" srcId="{1B016C1C-53DE-4FEF-8F0C-5D85CC0E423A}" destId="{53DEBF07-E060-4D8B-B15C-890AAF93B5AE}" srcOrd="2" destOrd="0" presId="urn:microsoft.com/office/officeart/2005/8/layout/process2"/>
    <dgm:cxn modelId="{4CA35745-DED7-4C28-90CE-DA8687940634}" type="presParOf" srcId="{1B016C1C-53DE-4FEF-8F0C-5D85CC0E423A}" destId="{DAED621F-0581-4342-90ED-4431D292EE45}" srcOrd="3" destOrd="0" presId="urn:microsoft.com/office/officeart/2005/8/layout/process2"/>
    <dgm:cxn modelId="{909E82EC-BBD4-4425-ACE1-B43CFE8CD0BA}" type="presParOf" srcId="{DAED621F-0581-4342-90ED-4431D292EE45}" destId="{B14CC7D5-52C3-4122-8538-7D5D7A982468}" srcOrd="0" destOrd="0" presId="urn:microsoft.com/office/officeart/2005/8/layout/process2"/>
    <dgm:cxn modelId="{C8813152-3F7B-49AC-AF1A-A3279490CD0C}" type="presParOf" srcId="{1B016C1C-53DE-4FEF-8F0C-5D85CC0E423A}" destId="{3C37E4EE-0654-47B6-A95C-A2FAA3F7ECD7}" srcOrd="4" destOrd="0" presId="urn:microsoft.com/office/officeart/2005/8/layout/process2"/>
    <dgm:cxn modelId="{845D6734-FC57-4F3B-A42D-E435563124DC}" type="presParOf" srcId="{1B016C1C-53DE-4FEF-8F0C-5D85CC0E423A}" destId="{E1B51AB6-818C-4F0F-90E6-3DEB57C1DFFB}" srcOrd="5" destOrd="0" presId="urn:microsoft.com/office/officeart/2005/8/layout/process2"/>
    <dgm:cxn modelId="{51A6C6F1-AB11-4CC9-97B8-02CDB03CE74E}" type="presParOf" srcId="{E1B51AB6-818C-4F0F-90E6-3DEB57C1DFFB}" destId="{0E966EAA-219C-4272-A5D0-88EB89A2BACD}" srcOrd="0" destOrd="0" presId="urn:microsoft.com/office/officeart/2005/8/layout/process2"/>
    <dgm:cxn modelId="{446B0C5A-874D-4BB8-8219-25A78D2E63E2}" type="presParOf" srcId="{1B016C1C-53DE-4FEF-8F0C-5D85CC0E423A}" destId="{E0248B65-058C-472B-A870-37E79B1BC2EF}" srcOrd="6" destOrd="0" presId="urn:microsoft.com/office/officeart/2005/8/layout/process2"/>
    <dgm:cxn modelId="{D98C83BF-BBE3-472F-ADF5-AF6D1DF69ADA}" type="presParOf" srcId="{1B016C1C-53DE-4FEF-8F0C-5D85CC0E423A}" destId="{14DAF6B9-3F15-4C09-8053-85F35B6B7705}" srcOrd="7" destOrd="0" presId="urn:microsoft.com/office/officeart/2005/8/layout/process2"/>
    <dgm:cxn modelId="{F067EB33-5E96-4F1D-B8C6-4FD0F68B50CE}" type="presParOf" srcId="{14DAF6B9-3F15-4C09-8053-85F35B6B7705}" destId="{86D42358-A3C6-43B8-8CEF-0E32507328D7}" srcOrd="0" destOrd="0" presId="urn:microsoft.com/office/officeart/2005/8/layout/process2"/>
    <dgm:cxn modelId="{23F3B752-5107-4B15-B54B-6A86E52D221F}" type="presParOf" srcId="{1B016C1C-53DE-4FEF-8F0C-5D85CC0E423A}" destId="{B7A17582-D5F6-4E01-A47F-CE585954C60F}" srcOrd="8" destOrd="0" presId="urn:microsoft.com/office/officeart/2005/8/layout/process2"/>
  </dgm:cxnLst>
  <dgm:bg/>
  <dgm:whole/>
  <dgm:extLst>
    <a:ext uri="http://schemas.microsoft.com/office/drawing/2008/diagram">
      <dsp:dataModelExt xmlns:dsp="http://schemas.microsoft.com/office/drawing/2008/diagram" xmlns="" relId="rId10"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D02036E2-020F-4BD9-A103-1E3B99162A7C}">
      <dsp:nvSpPr>
        <dsp:cNvPr id="0" name=""/>
        <dsp:cNvSpPr/>
      </dsp:nvSpPr>
      <dsp:spPr>
        <a:xfrm>
          <a:off x="1755907" y="506"/>
          <a:ext cx="2248904" cy="592791"/>
        </a:xfrm>
        <a:prstGeom prst="roundRect">
          <a:avLst>
            <a:gd name="adj" fmla="val 10000"/>
          </a:avLst>
        </a:prstGeom>
        <a:solidFill>
          <a:schemeClr val="lt1">
            <a:hueOff val="0"/>
            <a:satOff val="0"/>
            <a:lumOff val="0"/>
            <a:alphaOff val="0"/>
          </a:schemeClr>
        </a:solidFill>
        <a:ln>
          <a:noFill/>
        </a:ln>
        <a:effectLst>
          <a:outerShdw blurRad="40000" dist="23000" dir="5400000" rotWithShape="0">
            <a:srgbClr val="000000">
              <a:alpha val="35000"/>
            </a:srgbClr>
          </a:outerShdw>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Import dans FLR des séries temporelles du stock, structurées en âge, comprenant les abondances, les captures, les éventuels rejets, la mortalité naturelle, les poids moyens. Création d'un objet STOCK.</a:t>
          </a:r>
        </a:p>
      </dsp:txBody>
      <dsp:txXfrm>
        <a:off x="1755907" y="506"/>
        <a:ext cx="2248904" cy="592791"/>
      </dsp:txXfrm>
    </dsp:sp>
    <dsp:sp modelId="{9653AA95-6BE6-415B-B3BD-5E01957AB27F}">
      <dsp:nvSpPr>
        <dsp:cNvPr id="0" name=""/>
        <dsp:cNvSpPr/>
      </dsp:nvSpPr>
      <dsp:spPr>
        <a:xfrm rot="5400000">
          <a:off x="2769211" y="608118"/>
          <a:ext cx="222296" cy="266756"/>
        </a:xfrm>
        <a:prstGeom prst="rightArrow">
          <a:avLst>
            <a:gd name="adj1" fmla="val 60000"/>
            <a:gd name="adj2" fmla="val 50000"/>
          </a:avLst>
        </a:prstGeom>
        <a:solidFill>
          <a:schemeClr val="accent3">
            <a:tint val="60000"/>
            <a:hueOff val="0"/>
            <a:satOff val="0"/>
            <a:lumOff val="0"/>
            <a:alphaOff val="0"/>
          </a:schemeClr>
        </a:solidFill>
        <a:ln>
          <a:noFill/>
        </a:ln>
        <a:effectLst/>
        <a:scene3d>
          <a:camera prst="orthographicFront">
            <a:rot lat="0" lon="0" rev="0"/>
          </a:camera>
          <a:lightRig rig="contrasting" dir="t">
            <a:rot lat="0" lon="0" rev="1200000"/>
          </a:lightRig>
        </a:scene3d>
        <a:sp3d z="-182000" contourW="19050" prstMaterial="metal">
          <a:bevelT w="88900" h="203200"/>
          <a:bevelB w="165100" h="254000"/>
        </a:sp3d>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fr-FR" sz="700" kern="1200"/>
        </a:p>
      </dsp:txBody>
      <dsp:txXfrm rot="5400000">
        <a:off x="2769211" y="608118"/>
        <a:ext cx="222296" cy="266756"/>
      </dsp:txXfrm>
    </dsp:sp>
    <dsp:sp modelId="{53DEBF07-E060-4D8B-B15C-890AAF93B5AE}">
      <dsp:nvSpPr>
        <dsp:cNvPr id="0" name=""/>
        <dsp:cNvSpPr/>
      </dsp:nvSpPr>
      <dsp:spPr>
        <a:xfrm>
          <a:off x="1755907" y="889694"/>
          <a:ext cx="2248904" cy="592791"/>
        </a:xfrm>
        <a:prstGeom prst="roundRect">
          <a:avLst>
            <a:gd name="adj" fmla="val 10000"/>
          </a:avLst>
        </a:prstGeom>
        <a:solidFill>
          <a:schemeClr val="lt1">
            <a:hueOff val="0"/>
            <a:satOff val="0"/>
            <a:lumOff val="0"/>
            <a:alphaOff val="0"/>
          </a:schemeClr>
        </a:solidFill>
        <a:ln>
          <a:noFill/>
        </a:ln>
        <a:effectLst>
          <a:outerShdw blurRad="40000" dist="23000" dir="5400000" rotWithShape="0">
            <a:srgbClr val="000000">
              <a:alpha val="35000"/>
            </a:srgbClr>
          </a:outerShdw>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Réalisation d'une XSA dans FLR, export des variables d'intéret (Fbar, SSB) vers ISIS.</a:t>
          </a:r>
        </a:p>
      </dsp:txBody>
      <dsp:txXfrm>
        <a:off x="1755907" y="889694"/>
        <a:ext cx="2248904" cy="592791"/>
      </dsp:txXfrm>
    </dsp:sp>
    <dsp:sp modelId="{DAED621F-0581-4342-90ED-4431D292EE45}">
      <dsp:nvSpPr>
        <dsp:cNvPr id="0" name=""/>
        <dsp:cNvSpPr/>
      </dsp:nvSpPr>
      <dsp:spPr>
        <a:xfrm rot="5400000">
          <a:off x="2769211" y="1497306"/>
          <a:ext cx="222296" cy="266756"/>
        </a:xfrm>
        <a:prstGeom prst="rightArrow">
          <a:avLst>
            <a:gd name="adj1" fmla="val 60000"/>
            <a:gd name="adj2" fmla="val 50000"/>
          </a:avLst>
        </a:prstGeom>
        <a:solidFill>
          <a:schemeClr val="accent3">
            <a:tint val="60000"/>
            <a:hueOff val="0"/>
            <a:satOff val="0"/>
            <a:lumOff val="0"/>
            <a:alphaOff val="0"/>
          </a:schemeClr>
        </a:solidFill>
        <a:ln>
          <a:noFill/>
        </a:ln>
        <a:effectLst/>
        <a:scene3d>
          <a:camera prst="orthographicFront">
            <a:rot lat="0" lon="0" rev="0"/>
          </a:camera>
          <a:lightRig rig="contrasting" dir="t">
            <a:rot lat="0" lon="0" rev="1200000"/>
          </a:lightRig>
        </a:scene3d>
        <a:sp3d z="-182000" contourW="19050" prstMaterial="metal">
          <a:bevelT w="88900" h="203200"/>
          <a:bevelB w="165100" h="254000"/>
        </a:sp3d>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fr-FR" sz="700" kern="1200"/>
        </a:p>
      </dsp:txBody>
      <dsp:txXfrm rot="5400000">
        <a:off x="2769211" y="1497306"/>
        <a:ext cx="222296" cy="266756"/>
      </dsp:txXfrm>
    </dsp:sp>
    <dsp:sp modelId="{3C37E4EE-0654-47B6-A95C-A2FAA3F7ECD7}">
      <dsp:nvSpPr>
        <dsp:cNvPr id="0" name=""/>
        <dsp:cNvSpPr/>
      </dsp:nvSpPr>
      <dsp:spPr>
        <a:xfrm>
          <a:off x="1755907" y="1778882"/>
          <a:ext cx="2248904" cy="592791"/>
        </a:xfrm>
        <a:prstGeom prst="roundRect">
          <a:avLst>
            <a:gd name="adj" fmla="val 10000"/>
          </a:avLst>
        </a:prstGeom>
        <a:solidFill>
          <a:schemeClr val="lt1">
            <a:hueOff val="0"/>
            <a:satOff val="0"/>
            <a:lumOff val="0"/>
            <a:alphaOff val="0"/>
          </a:schemeClr>
        </a:solidFill>
        <a:ln>
          <a:noFill/>
        </a:ln>
        <a:effectLst>
          <a:outerShdw blurRad="40000" dist="23000" dir="5400000" rotWithShape="0">
            <a:srgbClr val="000000">
              <a:alpha val="35000"/>
            </a:srgbClr>
          </a:outerShdw>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Application d'une règle de gestion (TAC) en fonction de ces variables.</a:t>
          </a:r>
        </a:p>
      </dsp:txBody>
      <dsp:txXfrm>
        <a:off x="1755907" y="1778882"/>
        <a:ext cx="2248904" cy="592791"/>
      </dsp:txXfrm>
    </dsp:sp>
    <dsp:sp modelId="{E1B51AB6-818C-4F0F-90E6-3DEB57C1DFFB}">
      <dsp:nvSpPr>
        <dsp:cNvPr id="0" name=""/>
        <dsp:cNvSpPr/>
      </dsp:nvSpPr>
      <dsp:spPr>
        <a:xfrm rot="5400000">
          <a:off x="2769211" y="2386494"/>
          <a:ext cx="222296" cy="266756"/>
        </a:xfrm>
        <a:prstGeom prst="rightArrow">
          <a:avLst>
            <a:gd name="adj1" fmla="val 60000"/>
            <a:gd name="adj2" fmla="val 50000"/>
          </a:avLst>
        </a:prstGeom>
        <a:solidFill>
          <a:schemeClr val="accent3">
            <a:tint val="60000"/>
            <a:hueOff val="0"/>
            <a:satOff val="0"/>
            <a:lumOff val="0"/>
            <a:alphaOff val="0"/>
          </a:schemeClr>
        </a:solidFill>
        <a:ln>
          <a:noFill/>
        </a:ln>
        <a:effectLst/>
        <a:scene3d>
          <a:camera prst="orthographicFront">
            <a:rot lat="0" lon="0" rev="0"/>
          </a:camera>
          <a:lightRig rig="contrasting" dir="t">
            <a:rot lat="0" lon="0" rev="1200000"/>
          </a:lightRig>
        </a:scene3d>
        <a:sp3d z="-182000" contourW="19050" prstMaterial="metal">
          <a:bevelT w="88900" h="203200"/>
          <a:bevelB w="165100" h="254000"/>
        </a:sp3d>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fr-FR" sz="700" kern="1200"/>
        </a:p>
      </dsp:txBody>
      <dsp:txXfrm rot="5400000">
        <a:off x="2769211" y="2386494"/>
        <a:ext cx="222296" cy="266756"/>
      </dsp:txXfrm>
    </dsp:sp>
    <dsp:sp modelId="{E0248B65-058C-472B-A870-37E79B1BC2EF}">
      <dsp:nvSpPr>
        <dsp:cNvPr id="0" name=""/>
        <dsp:cNvSpPr/>
      </dsp:nvSpPr>
      <dsp:spPr>
        <a:xfrm>
          <a:off x="1755907" y="2668070"/>
          <a:ext cx="2248904" cy="592791"/>
        </a:xfrm>
        <a:prstGeom prst="roundRect">
          <a:avLst>
            <a:gd name="adj" fmla="val 10000"/>
          </a:avLst>
        </a:prstGeom>
        <a:solidFill>
          <a:schemeClr val="lt1">
            <a:hueOff val="0"/>
            <a:satOff val="0"/>
            <a:lumOff val="0"/>
            <a:alphaOff val="0"/>
          </a:schemeClr>
        </a:solidFill>
        <a:ln>
          <a:noFill/>
        </a:ln>
        <a:effectLst>
          <a:outerShdw blurRad="40000" dist="23000" dir="5400000" rotWithShape="0">
            <a:srgbClr val="000000">
              <a:alpha val="35000"/>
            </a:srgbClr>
          </a:outerShdw>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Simulation ISIS sur un an.</a:t>
          </a:r>
        </a:p>
      </dsp:txBody>
      <dsp:txXfrm>
        <a:off x="1755907" y="2668070"/>
        <a:ext cx="2248904" cy="592791"/>
      </dsp:txXfrm>
    </dsp:sp>
    <dsp:sp modelId="{14DAF6B9-3F15-4C09-8053-85F35B6B7705}">
      <dsp:nvSpPr>
        <dsp:cNvPr id="0" name=""/>
        <dsp:cNvSpPr/>
      </dsp:nvSpPr>
      <dsp:spPr>
        <a:xfrm rot="5400000">
          <a:off x="2769211" y="3275682"/>
          <a:ext cx="222296" cy="266756"/>
        </a:xfrm>
        <a:prstGeom prst="rightArrow">
          <a:avLst>
            <a:gd name="adj1" fmla="val 60000"/>
            <a:gd name="adj2" fmla="val 50000"/>
          </a:avLst>
        </a:prstGeom>
        <a:solidFill>
          <a:schemeClr val="accent3">
            <a:tint val="60000"/>
            <a:hueOff val="0"/>
            <a:satOff val="0"/>
            <a:lumOff val="0"/>
            <a:alphaOff val="0"/>
          </a:schemeClr>
        </a:solidFill>
        <a:ln>
          <a:noFill/>
        </a:ln>
        <a:effectLst/>
        <a:scene3d>
          <a:camera prst="orthographicFront">
            <a:rot lat="0" lon="0" rev="0"/>
          </a:camera>
          <a:lightRig rig="contrasting" dir="t">
            <a:rot lat="0" lon="0" rev="1200000"/>
          </a:lightRig>
        </a:scene3d>
        <a:sp3d z="-182000" contourW="19050" prstMaterial="metal">
          <a:bevelT w="88900" h="203200"/>
          <a:bevelB w="165100" h="254000"/>
        </a:sp3d>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311150">
            <a:lnSpc>
              <a:spcPct val="90000"/>
            </a:lnSpc>
            <a:spcBef>
              <a:spcPct val="0"/>
            </a:spcBef>
            <a:spcAft>
              <a:spcPct val="35000"/>
            </a:spcAft>
          </a:pPr>
          <a:endParaRPr lang="fr-FR" sz="700" kern="1200"/>
        </a:p>
      </dsp:txBody>
      <dsp:txXfrm rot="5400000">
        <a:off x="2769211" y="3275682"/>
        <a:ext cx="222296" cy="266756"/>
      </dsp:txXfrm>
    </dsp:sp>
    <dsp:sp modelId="{B7A17582-D5F6-4E01-A47F-CE585954C60F}">
      <dsp:nvSpPr>
        <dsp:cNvPr id="0" name=""/>
        <dsp:cNvSpPr/>
      </dsp:nvSpPr>
      <dsp:spPr>
        <a:xfrm>
          <a:off x="1755907" y="3557258"/>
          <a:ext cx="2248904" cy="592791"/>
        </a:xfrm>
        <a:prstGeom prst="roundRect">
          <a:avLst>
            <a:gd name="adj" fmla="val 10000"/>
          </a:avLst>
        </a:prstGeom>
        <a:solidFill>
          <a:schemeClr val="lt1">
            <a:hueOff val="0"/>
            <a:satOff val="0"/>
            <a:lumOff val="0"/>
            <a:alphaOff val="0"/>
          </a:schemeClr>
        </a:solidFill>
        <a:ln>
          <a:noFill/>
        </a:ln>
        <a:effectLst>
          <a:outerShdw blurRad="40000" dist="23000" dir="5400000" rotWithShape="0">
            <a:srgbClr val="000000">
              <a:alpha val="35000"/>
            </a:srgbClr>
          </a:outerShdw>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30480" tIns="30480" rIns="30480" bIns="30480" numCol="1" spcCol="1270" anchor="ctr" anchorCtr="0">
          <a:noAutofit/>
        </a:bodyPr>
        <a:lstStyle/>
        <a:p>
          <a:pPr lvl="0" algn="ctr" defTabSz="355600">
            <a:lnSpc>
              <a:spcPct val="90000"/>
            </a:lnSpc>
            <a:spcBef>
              <a:spcPct val="0"/>
            </a:spcBef>
            <a:spcAft>
              <a:spcPct val="35000"/>
            </a:spcAft>
          </a:pPr>
          <a:r>
            <a:rPr lang="fr-FR" sz="800" kern="1200"/>
            <a:t>Export des sorties de l'année depuis ISIS vers FLR. Mise à jour de l'objet STOCK et des séries de référence.</a:t>
          </a:r>
        </a:p>
      </dsp:txBody>
      <dsp:txXfrm>
        <a:off x="1755907" y="3557258"/>
        <a:ext cx="2248904" cy="592791"/>
      </dsp:txXfrm>
    </dsp:sp>
  </dsp:spTree>
</dsp:drawing>
</file>

<file path=word/diagrams/layout1.xml><?xml version="1.0" encoding="utf-8"?>
<dgm:layoutDef xmlns:dgm="http://schemas.openxmlformats.org/drawingml/2006/diagram" xmlns:a="http://schemas.openxmlformats.org/drawingml/2006/main" uniqueId="urn:microsoft.com/office/officeart/2005/8/layout/process2">
  <dgm:title val=""/>
  <dgm:desc val=""/>
  <dgm:catLst>
    <dgm:cat type="process" pri="13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Flow">
    <dgm:varLst>
      <dgm:resizeHandles val="exact"/>
    </dgm:varLst>
    <dgm:alg type="lin">
      <dgm:param type="linDir" val="fromT"/>
    </dgm:alg>
    <dgm:shape xmlns:r="http://schemas.openxmlformats.org/officeDocument/2006/relationships" r:blip="">
      <dgm:adjLst/>
    </dgm:shape>
    <dgm:presOf/>
    <dgm:constrLst>
      <dgm:constr type="h" for="ch" ptType="node" refType="h"/>
      <dgm:constr type="h" for="ch" ptType="sibTrans" refType="h" refFor="ch" refPtType="node" fact="0.5"/>
      <dgm:constr type="w" for="ch" ptType="node"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choose name="Name0">
          <dgm:if name="Name1" axis="root des" ptType="all node" func="maxDepth" op="gt" val="1">
            <dgm:alg type="tx">
              <dgm:param type="parTxLTRAlign" val="l"/>
              <dgm:param type="parTxRTLAlign" val="r"/>
              <dgm:param type="txAnchorVertCh" val="mid"/>
            </dgm:alg>
          </dgm:if>
          <dgm:else name="Name2">
            <dgm:alg type="tx"/>
          </dgm:else>
        </dgm:choose>
        <dgm:shape xmlns:r="http://schemas.openxmlformats.org/officeDocument/2006/relationships" type="roundRect" r:blip="">
          <dgm:adjLst>
            <dgm:adj idx="1" val="0.1"/>
          </dgm:adjLst>
        </dgm:shape>
        <dgm:presOf axis="desOrSelf" ptType="node"/>
        <dgm:constrLst>
          <dgm:constr type="w" refType="h" fact="1.8"/>
          <dgm:constr type="tMarg" refType="primFontSz" fact="0.3"/>
          <dgm:constr type="bMarg" refType="primFontSz" fact="0.3"/>
          <dgm:constr type="lMarg" refType="primFontSz" fact="0.3"/>
          <dgm:constr type="rMarg" refType="primFontSz" fact="0.3"/>
        </dgm:constrLst>
        <dgm:ruleLst>
          <dgm:rule type="primFontSz" val="18" fact="NaN" max="NaN"/>
          <dgm:rule type="w" val="NaN" fact="4" max="NaN"/>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w" refType="h" fact="0.9"/>
            <dgm:constr type="connDist"/>
            <dgm:constr type="wArH" refType="w" fact="0.5"/>
            <dgm:constr type="hArH" refType="w"/>
            <dgm:constr type="stemThick" refType="w" fact="0.6"/>
            <dgm:constr type="begPad" refType="connDist" fact="0.125"/>
            <dgm:constr type="endPad" refType="connDist" fact="0.125"/>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3d3">
  <dgm:title val=""/>
  <dgm:desc val=""/>
  <dgm:catLst>
    <dgm:cat type="3D" pri="11300"/>
  </dgm:catLst>
  <dgm:scene3d>
    <a:camera prst="orthographicFront"/>
    <a:lightRig rig="threePt" dir="t"/>
  </dgm:scene3d>
  <dgm:styleLbl name="node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l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vennNode1">
    <dgm:scene3d>
      <a:camera prst="orthographicFront">
        <a:rot lat="0" lon="0" rev="0"/>
      </a:camera>
      <a:lightRig rig="contrasting" dir="t">
        <a:rot lat="0" lon="0" rev="1200000"/>
      </a:lightRig>
    </dgm:scene3d>
    <dgm:sp3d contourW="12700" prstMaterial="clear">
      <a:bevelT w="177800" h="254000"/>
      <a:bevelB w="152400"/>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f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alignImgPlace1">
    <dgm:scene3d>
      <a:camera prst="orthographicFront">
        <a:rot lat="0" lon="0" rev="0"/>
      </a:camera>
      <a:lightRig rig="contrasting" dir="t">
        <a:rot lat="0" lon="0" rev="1200000"/>
      </a:lightRig>
    </dgm:scene3d>
    <dgm:sp3d contourW="12700" prstMaterial="flat">
      <a:bevelT w="177800" h="254000"/>
      <a:bevelB w="152400"/>
    </dgm:sp3d>
    <dgm:txPr/>
    <dgm:style>
      <a:lnRef idx="0">
        <a:scrgbClr r="0" g="0" b="0"/>
      </a:lnRef>
      <a:fillRef idx="1">
        <a:scrgbClr r="0" g="0" b="0"/>
      </a:fillRef>
      <a:effectRef idx="1">
        <a:scrgbClr r="0" g="0" b="0"/>
      </a:effectRef>
      <a:fontRef idx="minor"/>
    </dgm:style>
  </dgm:styleLbl>
  <dgm:styleLbl name="b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sibTrans2D1">
    <dgm:scene3d>
      <a:camera prst="orthographicFront">
        <a:rot lat="0" lon="0" rev="0"/>
      </a:camera>
      <a:lightRig rig="contrasting" dir="t">
        <a:rot lat="0" lon="0" rev="1200000"/>
      </a:lightRig>
    </dgm:scene3d>
    <dgm:sp3d z="-182000" contourW="19050" prstMaterial="metal">
      <a:bevelT w="88900" h="203200"/>
      <a:bevelB w="165100" h="254000"/>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ibTrans1D1">
    <dgm:scene3d>
      <a:camera prst="orthographicFront">
        <a:rot lat="0" lon="0" rev="0"/>
      </a:camera>
      <a:lightRig rig="contrasting" dir="t">
        <a:rot lat="0" lon="0" rev="1200000"/>
      </a:lightRig>
    </dgm:scene3d>
    <dgm:sp3d z="-110000"/>
    <dgm:txPr/>
    <dgm:style>
      <a:lnRef idx="1">
        <a:scrgbClr r="0" g="0" b="0"/>
      </a:lnRef>
      <a:fillRef idx="0">
        <a:scrgbClr r="0" g="0" b="0"/>
      </a:fillRef>
      <a:effectRef idx="0">
        <a:scrgbClr r="0" g="0" b="0"/>
      </a:effectRef>
      <a:fontRef idx="minor"/>
    </dgm:style>
  </dgm:styleLbl>
  <dgm:styleLbl name="callout">
    <dgm:scene3d>
      <a:camera prst="orthographicFront">
        <a:rot lat="0" lon="0" rev="0"/>
      </a:camera>
      <a:lightRig rig="contrasting" dir="t">
        <a:rot lat="0" lon="0" rev="1200000"/>
      </a:lightRig>
    </dgm:scene3d>
    <dgm:sp3d z="10000"/>
    <dgm:txPr/>
    <dgm:style>
      <a:lnRef idx="2">
        <a:scrgbClr r="0" g="0" b="0"/>
      </a:lnRef>
      <a:fillRef idx="1">
        <a:scrgbClr r="0" g="0" b="0"/>
      </a:fillRef>
      <a:effectRef idx="0">
        <a:scrgbClr r="0" g="0" b="0"/>
      </a:effectRef>
      <a:fontRef idx="minor"/>
    </dgm:style>
  </dgm:styleLbl>
  <dgm:styleLbl name="asst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parChTrans2D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1D1">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2">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3">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4">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con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tr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FgAcc1">
    <dgm:scene3d>
      <a:camera prst="orthographicFront">
        <a:rot lat="0" lon="0" rev="0"/>
      </a:camera>
      <a:lightRig rig="contrasting" dir="t">
        <a:rot lat="0" lon="0" rev="1200000"/>
      </a:lightRig>
    </dgm:scene3d>
    <dgm:sp3d z="300000" contourW="12700" prstMaterial="flat">
      <a:bevelT w="177800" h="254000"/>
      <a:bevelB w="152400"/>
    </dgm:sp3d>
    <dgm:txPr/>
    <dgm:style>
      <a:lnRef idx="0">
        <a:scrgbClr r="0" g="0" b="0"/>
      </a:lnRef>
      <a:fillRef idx="1">
        <a:scrgbClr r="0" g="0" b="0"/>
      </a:fillRef>
      <a:effectRef idx="0">
        <a:scrgbClr r="0" g="0" b="0"/>
      </a:effectRef>
      <a:fontRef idx="minor"/>
    </dgm:style>
  </dgm:styleLbl>
  <dgm:styleLbl name="solid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Follow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0">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2">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3">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4">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hp">
    <dgm:scene3d>
      <a:camera prst="orthographicFront">
        <a:rot lat="0" lon="0" rev="0"/>
      </a:camera>
      <a:lightRig rig="contrasting" dir="t">
        <a:rot lat="0" lon="0" rev="1200000"/>
      </a:lightRig>
    </dgm:scene3d>
    <dgm:sp3d z="-300000" prstMaterial="plastic"/>
    <dgm:txPr/>
    <dgm:style>
      <a:lnRef idx="1">
        <a:scrgbClr r="0" g="0" b="0"/>
      </a:lnRef>
      <a:fillRef idx="1">
        <a:scrgbClr r="0" g="0" b="0"/>
      </a:fillRef>
      <a:effectRef idx="0">
        <a:scrgbClr r="0" g="0" b="0"/>
      </a:effectRef>
      <a:fontRef idx="minor"/>
    </dgm:style>
  </dgm:styleLbl>
  <dgm:styleLbl name="dkBgShp">
    <dgm:scene3d>
      <a:camera prst="orthographicFront">
        <a:rot lat="0" lon="0" rev="0"/>
      </a:camera>
      <a:lightRig rig="contrasting" dir="t">
        <a:rot lat="0" lon="0" rev="1200000"/>
      </a:lightRig>
    </dgm:scene3d>
    <dgm:sp3d contourW="12700" prstMaterial="flat">
      <a:bevelT w="100800" h="154000"/>
      <a:bevelB w="152400"/>
    </dgm:sp3d>
    <dgm:txPr/>
    <dgm:style>
      <a:lnRef idx="0">
        <a:scrgbClr r="0" g="0" b="0"/>
      </a:lnRef>
      <a:fillRef idx="1">
        <a:scrgbClr r="0" g="0" b="0"/>
      </a:fillRef>
      <a:effectRef idx="0">
        <a:scrgbClr r="0" g="0" b="0"/>
      </a:effectRef>
      <a:fontRef idx="minor"/>
    </dgm:style>
  </dgm:styleLbl>
  <dgm:styleLbl name="trBgShp">
    <dgm:scene3d>
      <a:camera prst="orthographicFront">
        <a:rot lat="0" lon="0" rev="0"/>
      </a:camera>
      <a:lightRig rig="contrasting" dir="t">
        <a:rot lat="0" lon="0" rev="1200000"/>
      </a:lightRig>
    </dgm:scene3d>
    <dgm:sp3d z="-152400" prstMaterial="matte"/>
    <dgm:txPr/>
    <dgm:style>
      <a:lnRef idx="1">
        <a:scrgbClr r="0" g="0" b="0"/>
      </a:lnRef>
      <a:fillRef idx="1">
        <a:scrgbClr r="0" g="0" b="0"/>
      </a:fillRef>
      <a:effectRef idx="0">
        <a:scrgbClr r="0" g="0" b="0"/>
      </a:effectRef>
      <a:fontRef idx="minor"/>
    </dgm:style>
  </dgm:styleLbl>
  <dgm:styleLbl name="fgShp">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1">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TotalTime>
  <Pages>3</Pages>
  <Words>645</Words>
  <Characters>3551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ben</dc:creator>
  <cp:lastModifiedBy>ben</cp:lastModifiedBy>
  <cp:revision>2</cp:revision>
  <dcterms:created xsi:type="dcterms:W3CDTF">2010-10-17T14:00:00Z</dcterms:created>
  <dcterms:modified xsi:type="dcterms:W3CDTF">2010-10-17T14:00:00Z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&lt;data&gt;&lt;session id="kCaLSLAa"/&gt;&lt;style id="http://www.zotero.org/styles/harvard1" hasBibliography="0"/&gt;&lt;prefs&gt;&lt;pref name="fieldType" value="Field"/&gt;&lt;pref name="noteType" value="0"/&gt;&lt;/prefs&gt;&lt;/data&gt;</vt:lpwstr>
  </property>
</Properties>
</file>